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18" w:type="dxa"/>
        <w:shd w:val="clear" w:color="auto" w:fill="FFFF00"/>
        <w:tblLook w:val="04A0" w:firstRow="1" w:lastRow="0" w:firstColumn="1" w:lastColumn="0" w:noHBand="0" w:noVBand="1"/>
      </w:tblPr>
      <w:tblGrid>
        <w:gridCol w:w="1491"/>
        <w:gridCol w:w="8075"/>
        <w:gridCol w:w="1052"/>
      </w:tblGrid>
      <w:tr w:rsidR="002B642C" w:rsidRPr="002B642C" w14:paraId="13665419" w14:textId="77777777" w:rsidTr="008E5E2C">
        <w:trPr>
          <w:trHeight w:val="386"/>
        </w:trPr>
        <w:tc>
          <w:tcPr>
            <w:tcW w:w="10618" w:type="dxa"/>
            <w:gridSpan w:val="3"/>
            <w:shd w:val="clear" w:color="auto" w:fill="FFFF00"/>
          </w:tcPr>
          <w:p w14:paraId="3F50A212" w14:textId="02392D5F" w:rsidR="002B642C" w:rsidRPr="002B642C" w:rsidRDefault="002B642C" w:rsidP="002B642C">
            <w:pPr>
              <w:pStyle w:val="Titre2"/>
              <w:spacing w:before="120" w:after="120"/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</w:pPr>
            <w:r w:rsidRPr="002B642C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 xml:space="preserve">Réflexion </w:t>
            </w:r>
            <w:r w:rsidR="00CA0A28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>4</w:t>
            </w:r>
            <w:r w:rsidRPr="002B642C">
              <w:rPr>
                <w:rFonts w:ascii="Arial" w:hAnsi="Arial"/>
                <w:b/>
                <w:bCs/>
                <w:color w:val="000000" w:themeColor="text1"/>
                <w:sz w:val="28"/>
                <w:szCs w:val="22"/>
              </w:rPr>
              <w:t xml:space="preserve"> - Identifier les caractéristiques d’un communiqué de presse </w:t>
            </w:r>
          </w:p>
        </w:tc>
      </w:tr>
      <w:tr w:rsidR="002B642C" w:rsidRPr="00BD36BB" w14:paraId="6D71A4DA" w14:textId="77777777" w:rsidTr="008E5E2C">
        <w:trPr>
          <w:trHeight w:val="504"/>
        </w:trPr>
        <w:tc>
          <w:tcPr>
            <w:tcW w:w="1491" w:type="dxa"/>
            <w:shd w:val="clear" w:color="auto" w:fill="FFFF00"/>
            <w:vAlign w:val="center"/>
          </w:tcPr>
          <w:p w14:paraId="57B50877" w14:textId="77777777" w:rsidR="002B642C" w:rsidRPr="00BD36BB" w:rsidRDefault="002B642C" w:rsidP="008E5E2C">
            <w:pPr>
              <w:rPr>
                <w:rFonts w:cs="Arial"/>
              </w:rPr>
            </w:pPr>
            <w:r w:rsidRPr="00D07076">
              <w:rPr>
                <w:rFonts w:cs="Arial"/>
                <w:bCs/>
              </w:rPr>
              <w:t>Durée</w:t>
            </w:r>
            <w:r>
              <w:rPr>
                <w:rFonts w:cs="Arial"/>
              </w:rPr>
              <w:t xml:space="preserve"> : 20’</w:t>
            </w:r>
          </w:p>
        </w:tc>
        <w:tc>
          <w:tcPr>
            <w:tcW w:w="8075" w:type="dxa"/>
            <w:shd w:val="clear" w:color="auto" w:fill="FFFF00"/>
            <w:vAlign w:val="center"/>
          </w:tcPr>
          <w:p w14:paraId="57129EB6" w14:textId="7AA9E583" w:rsidR="002B642C" w:rsidRPr="00BD36BB" w:rsidRDefault="00DD51B8" w:rsidP="008E5E2C">
            <w:pPr>
              <w:jc w:val="center"/>
              <w:rPr>
                <w:rFonts w:cs="Arial"/>
              </w:rPr>
            </w:pPr>
            <w:r>
              <w:rPr>
                <w:bCs/>
                <w:noProof/>
              </w:rPr>
              <w:drawing>
                <wp:inline distT="0" distB="0" distL="0" distR="0" wp14:anchorId="4729583A" wp14:editId="008147BE">
                  <wp:extent cx="322580" cy="322580"/>
                  <wp:effectExtent l="0" t="0" r="0" b="1270"/>
                  <wp:docPr id="2026587742" name="Graphique 2" descr="Homme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87742" name="Graphique 1" descr="Homme avec un remplissage uni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538D4">
              <w:rPr>
                <w:bCs/>
                <w:noProof/>
              </w:rPr>
              <w:t>ou</w:t>
            </w:r>
            <w:r>
              <w:rPr>
                <w:bCs/>
                <w:noProof/>
              </w:rPr>
              <w:drawing>
                <wp:inline distT="0" distB="0" distL="0" distR="0" wp14:anchorId="182A744D" wp14:editId="71619DA7">
                  <wp:extent cx="370840" cy="322580"/>
                  <wp:effectExtent l="0" t="0" r="0" b="1270"/>
                  <wp:docPr id="754983025" name="Graphique 1" descr="Deux hommes avec un remplissage un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983025" name="Graphique 2" descr="Deux hommes avec un remplissage uni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rcRect t="6074" b="6256"/>
                          <a:stretch/>
                        </pic:blipFill>
                        <pic:spPr bwMode="auto">
                          <a:xfrm>
                            <a:off x="0" y="0"/>
                            <a:ext cx="368935" cy="323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shd w:val="clear" w:color="auto" w:fill="FFFF00"/>
            <w:vAlign w:val="center"/>
          </w:tcPr>
          <w:p w14:paraId="005F9206" w14:textId="77777777" w:rsidR="002B642C" w:rsidRPr="00A61947" w:rsidRDefault="002B642C" w:rsidP="008E5E2C">
            <w:pPr>
              <w:rPr>
                <w:rFonts w:cs="Arial"/>
                <w:bCs/>
              </w:rPr>
            </w:pPr>
            <w:r w:rsidRPr="00A61947">
              <w:rPr>
                <w:rFonts w:cs="Arial"/>
                <w:bCs/>
              </w:rPr>
              <w:t>Source</w:t>
            </w:r>
          </w:p>
        </w:tc>
      </w:tr>
    </w:tbl>
    <w:p w14:paraId="5E355980" w14:textId="77777777" w:rsidR="00CA0A28" w:rsidRPr="00CA0A28" w:rsidRDefault="00CA0A28" w:rsidP="00CA0A28">
      <w:pPr>
        <w:spacing w:before="120" w:after="120"/>
        <w:rPr>
          <w:rFonts w:cs="Arial"/>
          <w:b/>
          <w:sz w:val="24"/>
          <w:szCs w:val="24"/>
        </w:rPr>
      </w:pPr>
      <w:r w:rsidRPr="00CA0A28">
        <w:rPr>
          <w:rFonts w:cs="Arial"/>
          <w:b/>
          <w:sz w:val="24"/>
          <w:szCs w:val="24"/>
        </w:rPr>
        <w:t>Travail à faire</w:t>
      </w:r>
      <w:r w:rsidRPr="00CA0A28">
        <w:rPr>
          <w:rFonts w:cs="Arial"/>
          <w:b/>
          <w:sz w:val="24"/>
          <w:szCs w:val="24"/>
        </w:rPr>
        <w:tab/>
      </w:r>
    </w:p>
    <w:p w14:paraId="3FB776F7" w14:textId="77777777" w:rsidR="00CA0A28" w:rsidRPr="00CA0A28" w:rsidRDefault="00CA0A28" w:rsidP="00CA0A28">
      <w:pPr>
        <w:tabs>
          <w:tab w:val="left" w:pos="1951"/>
        </w:tabs>
        <w:spacing w:before="120" w:after="120"/>
        <w:ind w:left="113"/>
        <w:jc w:val="left"/>
        <w:rPr>
          <w:bCs/>
          <w:szCs w:val="20"/>
        </w:rPr>
      </w:pPr>
      <w:r w:rsidRPr="00CA0A28">
        <w:rPr>
          <w:bCs/>
          <w:szCs w:val="20"/>
        </w:rPr>
        <w:t>Après avoir lu le document, répondez aux questions suivantes :</w:t>
      </w:r>
    </w:p>
    <w:p w14:paraId="7C5BB80B" w14:textId="77777777" w:rsidR="00CA0A28" w:rsidRPr="00CA0A28" w:rsidRDefault="00CA0A28" w:rsidP="00CA0A28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CA0A28">
        <w:rPr>
          <w:bCs/>
          <w:szCs w:val="20"/>
        </w:rPr>
        <w:t>Quelle est la nature de ce document ?</w:t>
      </w:r>
    </w:p>
    <w:p w14:paraId="40562BB9" w14:textId="77777777" w:rsidR="00CA0A28" w:rsidRPr="00CA0A28" w:rsidRDefault="00CA0A28" w:rsidP="00CA0A28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CA0A28">
        <w:rPr>
          <w:bCs/>
          <w:szCs w:val="20"/>
        </w:rPr>
        <w:t>Qui est l’émetteur ?</w:t>
      </w:r>
    </w:p>
    <w:p w14:paraId="11DA899E" w14:textId="77777777" w:rsidR="00CA0A28" w:rsidRPr="00CA0A28" w:rsidRDefault="00CA0A28" w:rsidP="00CA0A28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CA0A28">
        <w:rPr>
          <w:bCs/>
          <w:szCs w:val="20"/>
        </w:rPr>
        <w:t>Quelle est la raison de sa publication ?</w:t>
      </w:r>
    </w:p>
    <w:p w14:paraId="6FC77AE6" w14:textId="77777777" w:rsidR="00CA0A28" w:rsidRPr="00CA0A28" w:rsidRDefault="00CA0A28" w:rsidP="00CA0A28">
      <w:pPr>
        <w:pStyle w:val="Paragraphedeliste"/>
        <w:numPr>
          <w:ilvl w:val="0"/>
          <w:numId w:val="1"/>
        </w:numPr>
        <w:tabs>
          <w:tab w:val="left" w:pos="1951"/>
        </w:tabs>
        <w:spacing w:before="120" w:after="120"/>
        <w:jc w:val="left"/>
        <w:rPr>
          <w:bCs/>
          <w:szCs w:val="20"/>
        </w:rPr>
      </w:pPr>
      <w:r w:rsidRPr="00CA0A28">
        <w:rPr>
          <w:bCs/>
          <w:szCs w:val="20"/>
        </w:rPr>
        <w:t>L’entreprise utilise-t-elle le QQOQCP ?</w:t>
      </w:r>
    </w:p>
    <w:p w14:paraId="1F706EFF" w14:textId="33E9DA2C" w:rsidR="002B642C" w:rsidRDefault="002B642C" w:rsidP="002B642C">
      <w:pPr>
        <w:spacing w:after="120"/>
        <w:rPr>
          <w:rFonts w:eastAsia="Times New Roman" w:cs="Arial"/>
          <w:b/>
          <w:sz w:val="24"/>
          <w:lang w:eastAsia="fr-FR"/>
        </w:rPr>
      </w:pPr>
      <w:r>
        <w:rPr>
          <w:rFonts w:eastAsia="Times New Roman" w:cs="Arial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67429" wp14:editId="32A31CD1">
                <wp:simplePos x="0" y="0"/>
                <wp:positionH relativeFrom="column">
                  <wp:posOffset>56886</wp:posOffset>
                </wp:positionH>
                <wp:positionV relativeFrom="paragraph">
                  <wp:posOffset>174977</wp:posOffset>
                </wp:positionV>
                <wp:extent cx="6310945" cy="6855358"/>
                <wp:effectExtent l="0" t="0" r="13970" b="222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0945" cy="68553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A316D" id="Rectangle 21" o:spid="_x0000_s1026" style="position:absolute;margin-left:4.5pt;margin-top:13.8pt;width:496.9pt;height:53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" filled="f" strokecolor="#1f4d78 [1604]" strokeweight="1pt"/>
            </w:pict>
          </mc:Fallback>
        </mc:AlternateContent>
      </w:r>
    </w:p>
    <w:p w14:paraId="375EEB81" w14:textId="79BE58A9" w:rsidR="002B642C" w:rsidRDefault="002B642C" w:rsidP="002B642C">
      <w:pPr>
        <w:spacing w:after="120"/>
        <w:ind w:right="-2"/>
        <w:jc w:val="center"/>
        <w:rPr>
          <w:rFonts w:eastAsia="Times New Roman" w:cs="Arial"/>
          <w:b/>
          <w:sz w:val="24"/>
          <w:lang w:eastAsia="fr-FR"/>
        </w:rPr>
      </w:pPr>
      <w:r w:rsidRPr="00482F6C">
        <w:rPr>
          <w:rFonts w:eastAsia="Times New Roman" w:cs="Arial"/>
          <w:b/>
          <w:sz w:val="24"/>
          <w:lang w:eastAsia="fr-FR"/>
        </w:rPr>
        <w:t>COMMUNIQU</w:t>
      </w:r>
      <w:r w:rsidR="00CA0A28">
        <w:rPr>
          <w:rFonts w:eastAsia="Times New Roman" w:cs="Arial"/>
          <w:b/>
          <w:sz w:val="24"/>
          <w:lang w:eastAsia="fr-FR"/>
        </w:rPr>
        <w:t>É</w:t>
      </w:r>
      <w:r w:rsidRPr="00482F6C">
        <w:rPr>
          <w:rFonts w:eastAsia="Times New Roman" w:cs="Arial"/>
          <w:b/>
          <w:sz w:val="24"/>
          <w:lang w:eastAsia="fr-FR"/>
        </w:rPr>
        <w:t xml:space="preserve"> DE PRESSE</w:t>
      </w:r>
    </w:p>
    <w:p w14:paraId="4F7D768D" w14:textId="77777777" w:rsidR="002B642C" w:rsidRPr="00575F70" w:rsidRDefault="002B642C" w:rsidP="002B642C">
      <w:pPr>
        <w:pStyle w:val="Titre3"/>
        <w:spacing w:after="120"/>
        <w:ind w:left="0" w:firstLine="0"/>
        <w:jc w:val="center"/>
        <w:rPr>
          <w:rFonts w:cs="Arial"/>
        </w:rPr>
      </w:pPr>
      <w:r w:rsidRPr="00575F70">
        <w:rPr>
          <w:rFonts w:cs="Arial"/>
          <w:shd w:val="clear" w:color="auto" w:fill="FFFFFF"/>
        </w:rPr>
        <w:t>4</w:t>
      </w:r>
      <w:r w:rsidRPr="00575F70">
        <w:rPr>
          <w:rFonts w:cs="Arial"/>
          <w:shd w:val="clear" w:color="auto" w:fill="FFFFFF"/>
          <w:vertAlign w:val="superscript"/>
        </w:rPr>
        <w:t>ème</w:t>
      </w:r>
      <w:r w:rsidRPr="00575F70">
        <w:rPr>
          <w:rFonts w:cs="Arial"/>
          <w:shd w:val="clear" w:color="auto" w:fill="FFFFFF"/>
        </w:rPr>
        <w:t xml:space="preserve"> édition de la Nuit de la Coiffure</w:t>
      </w:r>
    </w:p>
    <w:p w14:paraId="1B39CC07" w14:textId="77777777" w:rsidR="002B642C" w:rsidRDefault="002B642C" w:rsidP="002B642C">
      <w:pPr>
        <w:pStyle w:val="Paragraphedeliste"/>
        <w:ind w:left="360"/>
        <w:jc w:val="center"/>
      </w:pPr>
      <w:r>
        <w:rPr>
          <w:noProof/>
        </w:rPr>
        <w:drawing>
          <wp:inline distT="0" distB="0" distL="0" distR="0" wp14:anchorId="36954230" wp14:editId="1718F120">
            <wp:extent cx="3008095" cy="1689941"/>
            <wp:effectExtent l="0" t="0" r="1905" b="5715"/>
            <wp:docPr id="18" name="Image 18" descr="Une image contenant personne, bâtiment, grand, gen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C0EE41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120" cy="169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4E2FD" w14:textId="0E0DD85D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r w:rsidRPr="00575F70">
        <w:rPr>
          <w:b/>
          <w:bCs/>
          <w:sz w:val="18"/>
          <w:szCs w:val="20"/>
          <w:lang w:eastAsia="fr-FR"/>
        </w:rPr>
        <w:t>Paris, le 12 juin 20</w:t>
      </w:r>
      <w:r w:rsidR="00CA0A28">
        <w:rPr>
          <w:b/>
          <w:bCs/>
          <w:sz w:val="18"/>
          <w:szCs w:val="20"/>
          <w:lang w:eastAsia="fr-FR"/>
        </w:rPr>
        <w:t>23</w:t>
      </w:r>
      <w:r w:rsidRPr="00575F70">
        <w:rPr>
          <w:sz w:val="18"/>
          <w:szCs w:val="20"/>
          <w:lang w:eastAsia="fr-FR"/>
        </w:rPr>
        <w:t xml:space="preserve"> – La 4</w:t>
      </w:r>
      <w:r w:rsidRPr="00F27B89">
        <w:rPr>
          <w:sz w:val="18"/>
          <w:szCs w:val="20"/>
          <w:vertAlign w:val="superscript"/>
          <w:lang w:eastAsia="fr-FR"/>
        </w:rPr>
        <w:t xml:space="preserve">ème </w:t>
      </w:r>
      <w:r w:rsidRPr="00575F70">
        <w:rPr>
          <w:sz w:val="18"/>
          <w:szCs w:val="20"/>
          <w:lang w:eastAsia="fr-FR"/>
        </w:rPr>
        <w:t xml:space="preserve">édition de la Nuit de la Coiffure aura lieu le 15 juin prochain. </w:t>
      </w:r>
      <w:proofErr w:type="spellStart"/>
      <w:r w:rsidRPr="00575F70">
        <w:rPr>
          <w:sz w:val="18"/>
          <w:szCs w:val="20"/>
          <w:lang w:eastAsia="fr-FR"/>
        </w:rPr>
        <w:t>A</w:t>
      </w:r>
      <w:proofErr w:type="spellEnd"/>
      <w:r w:rsidRPr="00575F70">
        <w:rPr>
          <w:sz w:val="18"/>
          <w:szCs w:val="20"/>
          <w:lang w:eastAsia="fr-FR"/>
        </w:rPr>
        <w:t xml:space="preserve"> cette occasion 45</w:t>
      </w:r>
      <w:r>
        <w:rPr>
          <w:sz w:val="18"/>
          <w:szCs w:val="20"/>
          <w:lang w:eastAsia="fr-FR"/>
        </w:rPr>
        <w:t> </w:t>
      </w:r>
      <w:r w:rsidRPr="00575F70">
        <w:rPr>
          <w:sz w:val="18"/>
          <w:szCs w:val="20"/>
          <w:lang w:eastAsia="fr-FR"/>
        </w:rPr>
        <w:t>000 femmes seront coiffées gratuitement dans près de 3</w:t>
      </w:r>
      <w:r>
        <w:rPr>
          <w:sz w:val="18"/>
          <w:szCs w:val="20"/>
          <w:lang w:eastAsia="fr-FR"/>
        </w:rPr>
        <w:t xml:space="preserve"> </w:t>
      </w:r>
      <w:r w:rsidRPr="00575F70">
        <w:rPr>
          <w:sz w:val="18"/>
          <w:szCs w:val="20"/>
          <w:lang w:eastAsia="fr-FR"/>
        </w:rPr>
        <w:t xml:space="preserve">000 salons partout en France. Anne Hidalgo, la </w:t>
      </w:r>
      <w:proofErr w:type="gramStart"/>
      <w:r w:rsidRPr="00575F70">
        <w:rPr>
          <w:sz w:val="18"/>
          <w:szCs w:val="20"/>
          <w:lang w:eastAsia="fr-FR"/>
        </w:rPr>
        <w:t>Maire</w:t>
      </w:r>
      <w:proofErr w:type="gramEnd"/>
      <w:r w:rsidRPr="00575F70">
        <w:rPr>
          <w:sz w:val="18"/>
          <w:szCs w:val="20"/>
          <w:lang w:eastAsia="fr-FR"/>
        </w:rPr>
        <w:t xml:space="preserve"> de Paris et Nathalie Roos, la Directrice Générale Internationale de la division des Produits Professionnels de L’Oréal, donneront le coup d’envoi de cette nouvelle édition à l’Hôtel de Ville qui accueillera le plus grand salon de coiffure de France, avec 1 200 femmes attendues par 120 coiffeurs.</w:t>
      </w:r>
    </w:p>
    <w:p w14:paraId="3A94D176" w14:textId="77777777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r w:rsidRPr="00575F70">
        <w:rPr>
          <w:sz w:val="18"/>
          <w:szCs w:val="20"/>
          <w:lang w:eastAsia="fr-FR"/>
        </w:rPr>
        <w:t xml:space="preserve">Imaginée par L’Oréal Professionnel France il y a quatre ans, la Nuit de la Coiffure est déployée dans plus de 30 pays autour d’un dispositif digital permettant d’amplifier sa visibilité et d’inciter davantage de femmes à se rendre en salons. Par cette initiative, L’Oréal Professionnel souhaite promouvoir la Coiffure auprès du grand public et mettre en avant une profession porteuse de savoir-faire et d’excellence. </w:t>
      </w:r>
      <w:r w:rsidRPr="00575F70">
        <w:rPr>
          <w:i/>
          <w:iCs/>
          <w:sz w:val="18"/>
          <w:szCs w:val="20"/>
          <w:lang w:eastAsia="fr-FR"/>
        </w:rPr>
        <w:t>« La Nuit de la Coiffure que nous déployons mondialement est une opportunité unique pour dynamiser la profession et connecter toujours plus de femmes avec les coiffeurs »</w:t>
      </w:r>
      <w:r w:rsidRPr="00575F70">
        <w:rPr>
          <w:sz w:val="18"/>
          <w:szCs w:val="20"/>
          <w:lang w:eastAsia="fr-FR"/>
        </w:rPr>
        <w:t xml:space="preserve"> souligne </w:t>
      </w:r>
      <w:r w:rsidRPr="00575F70">
        <w:rPr>
          <w:b/>
          <w:bCs/>
          <w:sz w:val="18"/>
          <w:szCs w:val="20"/>
          <w:lang w:eastAsia="fr-FR"/>
        </w:rPr>
        <w:t>Nathalie Roos.</w:t>
      </w:r>
      <w:r w:rsidRPr="00575F70">
        <w:rPr>
          <w:sz w:val="18"/>
          <w:szCs w:val="20"/>
          <w:lang w:eastAsia="fr-FR"/>
        </w:rPr>
        <w:t xml:space="preserve"> </w:t>
      </w:r>
    </w:p>
    <w:p w14:paraId="7A3475A1" w14:textId="77777777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r w:rsidRPr="00575F70">
        <w:rPr>
          <w:sz w:val="18"/>
          <w:szCs w:val="20"/>
          <w:lang w:eastAsia="fr-FR"/>
        </w:rPr>
        <w:t xml:space="preserve">Avec un chiffre d’affaires de plus de 6 milliards d’euros* et près de 170 000 actifs**, l’industrie de la coiffure est le deuxième artisanat en France et représente une profession d’expertise et de passion attractive pour les jeunes. </w:t>
      </w:r>
    </w:p>
    <w:p w14:paraId="4991928E" w14:textId="77777777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r w:rsidRPr="00575F70">
        <w:rPr>
          <w:sz w:val="18"/>
          <w:szCs w:val="20"/>
          <w:lang w:eastAsia="fr-FR"/>
        </w:rPr>
        <w:t xml:space="preserve">La Nuit de la Coiffure repose sur un concept simple : inviter les femmes à se faire coiffer gratuitement pour leur faire apprécier l’expertise professionnelle du coiffeur. Elles vivront une expérience unique de beauté en salon, avec un diagnostic et des conseils sur-mesure, et une session de coiffage personnalisée. Les femmes sont invitées à s’inscrire dans le salon participant de leur choix, sur la plateforme dédiée www.lanuitdelacoiffure.fr. </w:t>
      </w:r>
    </w:p>
    <w:p w14:paraId="70B02F2B" w14:textId="77777777" w:rsidR="002B642C" w:rsidRPr="00575F70" w:rsidRDefault="002B642C" w:rsidP="002B642C">
      <w:pPr>
        <w:spacing w:before="120"/>
        <w:ind w:left="567" w:right="424"/>
        <w:jc w:val="left"/>
        <w:rPr>
          <w:sz w:val="18"/>
          <w:szCs w:val="20"/>
          <w:lang w:eastAsia="fr-FR"/>
        </w:rPr>
      </w:pPr>
      <w:r w:rsidRPr="00575F70">
        <w:rPr>
          <w:sz w:val="18"/>
          <w:szCs w:val="20"/>
          <w:lang w:eastAsia="fr-FR"/>
        </w:rPr>
        <w:t xml:space="preserve">* Source INSEE </w:t>
      </w:r>
      <w:r w:rsidRPr="00575F70">
        <w:rPr>
          <w:sz w:val="18"/>
          <w:szCs w:val="20"/>
          <w:lang w:eastAsia="fr-FR"/>
        </w:rPr>
        <w:br/>
        <w:t xml:space="preserve">** Source </w:t>
      </w:r>
      <w:proofErr w:type="spellStart"/>
      <w:r w:rsidRPr="00575F70">
        <w:rPr>
          <w:sz w:val="18"/>
          <w:szCs w:val="20"/>
          <w:lang w:eastAsia="fr-FR"/>
        </w:rPr>
        <w:t>UNEC</w:t>
      </w:r>
      <w:proofErr w:type="spellEnd"/>
      <w:r w:rsidRPr="00575F70">
        <w:rPr>
          <w:sz w:val="18"/>
          <w:szCs w:val="20"/>
          <w:lang w:eastAsia="fr-FR"/>
        </w:rPr>
        <w:t xml:space="preserve"> </w:t>
      </w:r>
    </w:p>
    <w:p w14:paraId="320E7FCE" w14:textId="77777777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proofErr w:type="spellStart"/>
      <w:r w:rsidRPr="00575F70">
        <w:rPr>
          <w:b/>
          <w:bCs/>
          <w:i/>
          <w:iCs/>
          <w:sz w:val="18"/>
          <w:szCs w:val="20"/>
          <w:lang w:eastAsia="fr-FR"/>
        </w:rPr>
        <w:t>A</w:t>
      </w:r>
      <w:proofErr w:type="spellEnd"/>
      <w:r w:rsidRPr="00575F70">
        <w:rPr>
          <w:b/>
          <w:bCs/>
          <w:i/>
          <w:iCs/>
          <w:sz w:val="18"/>
          <w:szCs w:val="20"/>
          <w:lang w:eastAsia="fr-FR"/>
        </w:rPr>
        <w:t xml:space="preserve"> propos de L’Oréal Produits Professionnels</w:t>
      </w:r>
    </w:p>
    <w:p w14:paraId="7149CCFD" w14:textId="77777777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r w:rsidRPr="00575F70">
        <w:rPr>
          <w:i/>
          <w:iCs/>
          <w:sz w:val="18"/>
          <w:szCs w:val="20"/>
          <w:lang w:eastAsia="fr-FR"/>
        </w:rPr>
        <w:t xml:space="preserve">Leader historique du marché de la coiffure, L’Oréal Produits Professionnels couvre 2 marchés de la beauté professionnelle : le soin du cheveu et le soin de la peau. Son portefeuille de marques internationales se compose de L’Oréal Professionnel, Redken, Matrix, </w:t>
      </w:r>
      <w:proofErr w:type="spellStart"/>
      <w:r w:rsidRPr="00575F70">
        <w:rPr>
          <w:i/>
          <w:iCs/>
          <w:sz w:val="18"/>
          <w:szCs w:val="20"/>
          <w:lang w:eastAsia="fr-FR"/>
        </w:rPr>
        <w:t>Kérastase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, </w:t>
      </w:r>
      <w:proofErr w:type="spellStart"/>
      <w:r w:rsidRPr="00575F70">
        <w:rPr>
          <w:i/>
          <w:iCs/>
          <w:sz w:val="18"/>
          <w:szCs w:val="20"/>
          <w:lang w:eastAsia="fr-FR"/>
        </w:rPr>
        <w:t>Mizani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, Shu </w:t>
      </w:r>
      <w:proofErr w:type="spellStart"/>
      <w:r w:rsidRPr="00575F70">
        <w:rPr>
          <w:i/>
          <w:iCs/>
          <w:sz w:val="18"/>
          <w:szCs w:val="20"/>
          <w:lang w:eastAsia="fr-FR"/>
        </w:rPr>
        <w:t>Uemura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 Art of </w:t>
      </w:r>
      <w:proofErr w:type="spellStart"/>
      <w:r w:rsidRPr="00575F70">
        <w:rPr>
          <w:i/>
          <w:iCs/>
          <w:sz w:val="18"/>
          <w:szCs w:val="20"/>
          <w:lang w:eastAsia="fr-FR"/>
        </w:rPr>
        <w:t>Hair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, </w:t>
      </w:r>
      <w:proofErr w:type="spellStart"/>
      <w:r w:rsidRPr="00575F70">
        <w:rPr>
          <w:i/>
          <w:iCs/>
          <w:sz w:val="18"/>
          <w:szCs w:val="20"/>
          <w:lang w:eastAsia="fr-FR"/>
        </w:rPr>
        <w:t>Pureology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, </w:t>
      </w:r>
      <w:proofErr w:type="spellStart"/>
      <w:r w:rsidRPr="00575F70">
        <w:rPr>
          <w:i/>
          <w:iCs/>
          <w:sz w:val="18"/>
          <w:szCs w:val="20"/>
          <w:lang w:eastAsia="fr-FR"/>
        </w:rPr>
        <w:t>Decléor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 et </w:t>
      </w:r>
      <w:proofErr w:type="spellStart"/>
      <w:r w:rsidRPr="00575F70">
        <w:rPr>
          <w:i/>
          <w:iCs/>
          <w:sz w:val="18"/>
          <w:szCs w:val="20"/>
          <w:lang w:eastAsia="fr-FR"/>
        </w:rPr>
        <w:t>Carita</w:t>
      </w:r>
      <w:proofErr w:type="spellEnd"/>
      <w:r w:rsidRPr="00575F70">
        <w:rPr>
          <w:i/>
          <w:iCs/>
          <w:sz w:val="18"/>
          <w:szCs w:val="20"/>
          <w:lang w:eastAsia="fr-FR"/>
        </w:rPr>
        <w:t xml:space="preserve">. L’Oréal Produits Professionnels est présent dans 66 pays et est partenaire d’environ 1,5 million de coiffeurs dans le monde. </w:t>
      </w:r>
    </w:p>
    <w:p w14:paraId="3749E6DE" w14:textId="77777777" w:rsidR="002B642C" w:rsidRPr="00575F70" w:rsidRDefault="002B642C" w:rsidP="002B642C">
      <w:pPr>
        <w:spacing w:before="120"/>
        <w:ind w:left="567" w:right="424"/>
        <w:rPr>
          <w:sz w:val="18"/>
          <w:szCs w:val="20"/>
          <w:lang w:eastAsia="fr-FR"/>
        </w:rPr>
      </w:pPr>
      <w:r w:rsidRPr="00575F70">
        <w:rPr>
          <w:b/>
          <w:bCs/>
          <w:sz w:val="18"/>
          <w:szCs w:val="20"/>
          <w:lang w:eastAsia="fr-FR"/>
        </w:rPr>
        <w:t xml:space="preserve">Contact Media </w:t>
      </w:r>
    </w:p>
    <w:p w14:paraId="292AAE4A" w14:textId="77777777" w:rsidR="002B642C" w:rsidRPr="00575F70" w:rsidRDefault="002B642C" w:rsidP="002B642C">
      <w:pPr>
        <w:spacing w:before="120"/>
        <w:ind w:left="567" w:right="424"/>
        <w:jc w:val="left"/>
        <w:rPr>
          <w:sz w:val="18"/>
          <w:szCs w:val="20"/>
          <w:lang w:eastAsia="fr-FR"/>
        </w:rPr>
      </w:pPr>
      <w:r w:rsidRPr="00575F70">
        <w:rPr>
          <w:sz w:val="18"/>
          <w:szCs w:val="20"/>
          <w:lang w:eastAsia="fr-FR"/>
        </w:rPr>
        <w:t xml:space="preserve">L’Oréal Produits Professionnels – Catherine Rose | catherine.rose@loreal.com | tél. : 01 40 20 63 04 </w:t>
      </w:r>
      <w:r w:rsidRPr="00575F70">
        <w:rPr>
          <w:sz w:val="18"/>
          <w:szCs w:val="20"/>
          <w:lang w:eastAsia="fr-FR"/>
        </w:rPr>
        <w:br/>
        <w:t xml:space="preserve">Groupe L’Oréal – </w:t>
      </w:r>
      <w:proofErr w:type="spellStart"/>
      <w:r w:rsidRPr="00575F70">
        <w:rPr>
          <w:sz w:val="18"/>
          <w:szCs w:val="20"/>
          <w:lang w:eastAsia="fr-FR"/>
        </w:rPr>
        <w:t>Polina</w:t>
      </w:r>
      <w:proofErr w:type="spellEnd"/>
      <w:r w:rsidRPr="00575F70">
        <w:rPr>
          <w:sz w:val="18"/>
          <w:szCs w:val="20"/>
          <w:lang w:eastAsia="fr-FR"/>
        </w:rPr>
        <w:t xml:space="preserve"> Huard | polina.huard@loreal.com | tél. : 01 47 56 87 88 </w:t>
      </w:r>
    </w:p>
    <w:p w14:paraId="656D05FA" w14:textId="77777777" w:rsidR="002B642C" w:rsidRPr="00575F70" w:rsidRDefault="002B642C" w:rsidP="002B642C">
      <w:pPr>
        <w:spacing w:before="120"/>
        <w:rPr>
          <w:sz w:val="18"/>
          <w:szCs w:val="20"/>
        </w:rPr>
      </w:pPr>
    </w:p>
    <w:p w14:paraId="228B3165" w14:textId="77777777" w:rsidR="002B642C" w:rsidRDefault="002B642C" w:rsidP="002B642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6AE9AB56" w14:textId="77777777" w:rsidR="00CA0A28" w:rsidRDefault="00CA0A28" w:rsidP="002B642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529A9BDB" w14:textId="77777777" w:rsidR="00CA0A28" w:rsidRDefault="00CA0A28" w:rsidP="002B642C">
      <w:pPr>
        <w:spacing w:after="120"/>
        <w:rPr>
          <w:rFonts w:eastAsia="Times New Roman" w:cs="Arial"/>
          <w:b/>
          <w:sz w:val="24"/>
          <w:lang w:eastAsia="fr-FR"/>
        </w:rPr>
      </w:pPr>
    </w:p>
    <w:p w14:paraId="1AA5D0EB" w14:textId="01B960B2" w:rsidR="002B642C" w:rsidRPr="00CA0A28" w:rsidRDefault="00CA0A28" w:rsidP="002B642C">
      <w:pPr>
        <w:spacing w:before="120"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Réponses</w:t>
      </w:r>
      <w:r w:rsidR="002B642C" w:rsidRPr="00CA0A28">
        <w:rPr>
          <w:rFonts w:cs="Arial"/>
          <w:b/>
          <w:sz w:val="24"/>
          <w:szCs w:val="24"/>
        </w:rPr>
        <w:tab/>
      </w:r>
    </w:p>
    <w:p w14:paraId="20CF3476" w14:textId="2AC98E67" w:rsidR="002B642C" w:rsidRPr="00CA0A28" w:rsidRDefault="002B642C" w:rsidP="00CA0A28">
      <w:pPr>
        <w:pStyle w:val="Paragraphedeliste"/>
        <w:numPr>
          <w:ilvl w:val="0"/>
          <w:numId w:val="2"/>
        </w:numPr>
        <w:tabs>
          <w:tab w:val="left" w:pos="1951"/>
        </w:tabs>
        <w:spacing w:before="120" w:after="120"/>
        <w:ind w:left="360"/>
        <w:jc w:val="left"/>
        <w:rPr>
          <w:bCs/>
          <w:szCs w:val="20"/>
        </w:rPr>
      </w:pPr>
      <w:r w:rsidRPr="00CA0A28">
        <w:rPr>
          <w:bCs/>
          <w:szCs w:val="20"/>
        </w:rPr>
        <w:t>Quelle est la nature de ce document ?</w:t>
      </w:r>
    </w:p>
    <w:p w14:paraId="1168C660" w14:textId="77777777" w:rsidR="002B642C" w:rsidRDefault="002B642C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75AEEB26" w14:textId="77777777" w:rsidR="00CA0A28" w:rsidRDefault="00CA0A28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14A67C3C" w14:textId="77777777" w:rsidR="00CA0A28" w:rsidRPr="00CA0A28" w:rsidRDefault="00CA0A28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481C534E" w14:textId="26279ADC" w:rsidR="002B642C" w:rsidRPr="00CA0A28" w:rsidRDefault="002B642C" w:rsidP="00CA0A28">
      <w:pPr>
        <w:pStyle w:val="Paragraphedeliste"/>
        <w:numPr>
          <w:ilvl w:val="0"/>
          <w:numId w:val="2"/>
        </w:numPr>
        <w:tabs>
          <w:tab w:val="left" w:pos="1951"/>
        </w:tabs>
        <w:spacing w:before="120" w:after="120"/>
        <w:ind w:left="360"/>
        <w:jc w:val="left"/>
        <w:rPr>
          <w:bCs/>
          <w:szCs w:val="20"/>
        </w:rPr>
      </w:pPr>
      <w:r w:rsidRPr="00CA0A28">
        <w:rPr>
          <w:bCs/>
          <w:szCs w:val="20"/>
        </w:rPr>
        <w:t>Qui est l’émetteur ?</w:t>
      </w:r>
    </w:p>
    <w:p w14:paraId="5B605265" w14:textId="77777777" w:rsidR="002B642C" w:rsidRPr="00CA0A28" w:rsidRDefault="002B642C" w:rsidP="00CA0A28">
      <w:pPr>
        <w:pStyle w:val="Paragraphedeliste"/>
        <w:ind w:left="360"/>
        <w:rPr>
          <w:bCs/>
          <w:szCs w:val="20"/>
        </w:rPr>
      </w:pPr>
    </w:p>
    <w:p w14:paraId="586CA770" w14:textId="222D4AFD" w:rsidR="002B642C" w:rsidRPr="00CA0A28" w:rsidRDefault="002B642C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3EA28142" w14:textId="77777777" w:rsidR="002B642C" w:rsidRPr="00CA0A28" w:rsidRDefault="002B642C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01B4B945" w14:textId="7B45A766" w:rsidR="002B642C" w:rsidRPr="00CA0A28" w:rsidRDefault="002B642C" w:rsidP="00CA0A28">
      <w:pPr>
        <w:pStyle w:val="Paragraphedeliste"/>
        <w:numPr>
          <w:ilvl w:val="0"/>
          <w:numId w:val="2"/>
        </w:numPr>
        <w:tabs>
          <w:tab w:val="left" w:pos="1951"/>
        </w:tabs>
        <w:spacing w:before="120" w:after="120"/>
        <w:ind w:left="360"/>
        <w:jc w:val="left"/>
        <w:rPr>
          <w:bCs/>
          <w:szCs w:val="20"/>
        </w:rPr>
      </w:pPr>
      <w:r w:rsidRPr="00CA0A28">
        <w:rPr>
          <w:bCs/>
          <w:szCs w:val="20"/>
        </w:rPr>
        <w:t>Quelle est la raison de sa publication ?</w:t>
      </w:r>
    </w:p>
    <w:p w14:paraId="3A33FFDF" w14:textId="77777777" w:rsidR="002B642C" w:rsidRDefault="002B642C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4FB58A43" w14:textId="77777777" w:rsidR="00CA0A28" w:rsidRDefault="00CA0A28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6D7F23A9" w14:textId="77777777" w:rsidR="00CA0A28" w:rsidRPr="00CA0A28" w:rsidRDefault="00CA0A28" w:rsidP="00CA0A28">
      <w:pPr>
        <w:tabs>
          <w:tab w:val="left" w:pos="1951"/>
        </w:tabs>
        <w:spacing w:before="120" w:after="120"/>
        <w:jc w:val="left"/>
        <w:rPr>
          <w:bCs/>
          <w:szCs w:val="20"/>
        </w:rPr>
      </w:pPr>
    </w:p>
    <w:p w14:paraId="0D344F0E" w14:textId="77777777" w:rsidR="002B642C" w:rsidRPr="00CA0A28" w:rsidRDefault="002B642C" w:rsidP="00CA0A28">
      <w:pPr>
        <w:pStyle w:val="Paragraphedeliste"/>
        <w:numPr>
          <w:ilvl w:val="0"/>
          <w:numId w:val="2"/>
        </w:numPr>
        <w:tabs>
          <w:tab w:val="left" w:pos="1951"/>
        </w:tabs>
        <w:spacing w:before="120" w:after="120"/>
        <w:ind w:left="360"/>
        <w:jc w:val="left"/>
        <w:rPr>
          <w:bCs/>
          <w:szCs w:val="20"/>
        </w:rPr>
      </w:pPr>
      <w:r w:rsidRPr="00CA0A28">
        <w:rPr>
          <w:bCs/>
          <w:szCs w:val="20"/>
        </w:rPr>
        <w:t>L’entreprise utilise-t-elle le QQOQCP ?</w:t>
      </w:r>
    </w:p>
    <w:p w14:paraId="50F2C6E8" w14:textId="77777777" w:rsidR="002B642C" w:rsidRPr="00CA0A28" w:rsidRDefault="002B642C" w:rsidP="002B642C">
      <w:pPr>
        <w:spacing w:after="120"/>
        <w:rPr>
          <w:rFonts w:eastAsia="Times New Roman" w:cs="Arial"/>
          <w:b/>
          <w:szCs w:val="20"/>
          <w:lang w:eastAsia="fr-FR"/>
        </w:rPr>
      </w:pPr>
    </w:p>
    <w:p w14:paraId="48773790" w14:textId="77777777" w:rsidR="0011531A" w:rsidRDefault="0011531A"/>
    <w:sectPr w:rsidR="0011531A" w:rsidSect="00E43764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12"/>
    <w:multiLevelType w:val="hybridMultilevel"/>
    <w:tmpl w:val="EF40EFFA"/>
    <w:lvl w:ilvl="0" w:tplc="0512E0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484703C"/>
    <w:multiLevelType w:val="hybridMultilevel"/>
    <w:tmpl w:val="F91EB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4">
    <w:abstractNumId w:val="0"/>
  </w:num>
  <w:num w:numId="2" w16cid:durableId="2081521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02"/>
    <w:rsid w:val="000F7292"/>
    <w:rsid w:val="0011531A"/>
    <w:rsid w:val="00227A11"/>
    <w:rsid w:val="002B642C"/>
    <w:rsid w:val="003F7E1C"/>
    <w:rsid w:val="00475111"/>
    <w:rsid w:val="00533A5C"/>
    <w:rsid w:val="00552B02"/>
    <w:rsid w:val="0078489F"/>
    <w:rsid w:val="00BB291B"/>
    <w:rsid w:val="00C03E0C"/>
    <w:rsid w:val="00CA0A28"/>
    <w:rsid w:val="00DD51B8"/>
    <w:rsid w:val="00E12E11"/>
    <w:rsid w:val="00E43764"/>
    <w:rsid w:val="00EC56E4"/>
    <w:rsid w:val="00FB6A4B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C3FA5"/>
  <w15:chartTrackingRefBased/>
  <w15:docId w15:val="{CBB7A88D-C7E9-4452-BD3E-892A47C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02"/>
    <w:pPr>
      <w:spacing w:after="0" w:line="240" w:lineRule="auto"/>
      <w:jc w:val="both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2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552B02"/>
    <w:pPr>
      <w:ind w:left="360" w:hanging="360"/>
      <w:outlineLvl w:val="2"/>
    </w:pPr>
    <w:rPr>
      <w:rFonts w:eastAsia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52B02"/>
    <w:rPr>
      <w:rFonts w:ascii="Arial" w:eastAsia="Times New Roman" w:hAnsi="Arial" w:cs="Times New Roman"/>
      <w:b/>
      <w:sz w:val="24"/>
      <w:szCs w:val="24"/>
      <w:lang w:eastAsia="fr-FR"/>
    </w:rPr>
  </w:style>
  <w:style w:type="character" w:styleId="Lienhypertexte">
    <w:name w:val="Hyperlink"/>
    <w:basedOn w:val="Policepardfaut"/>
    <w:unhideWhenUsed/>
    <w:rsid w:val="00552B0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52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E12E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2B6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12</cp:revision>
  <dcterms:created xsi:type="dcterms:W3CDTF">2014-10-10T08:15:00Z</dcterms:created>
  <dcterms:modified xsi:type="dcterms:W3CDTF">2024-03-19T14:54:00Z</dcterms:modified>
</cp:coreProperties>
</file>