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263" w:type="dxa"/>
        <w:tblInd w:w="-5" w:type="dxa"/>
        <w:shd w:val="clear" w:color="auto" w:fill="FFFF00"/>
        <w:tblLayout w:type="fixed"/>
        <w:tblLook w:val="04A0" w:firstRow="1" w:lastRow="0" w:firstColumn="1" w:lastColumn="0" w:noHBand="0" w:noVBand="1"/>
      </w:tblPr>
      <w:tblGrid>
        <w:gridCol w:w="1296"/>
        <w:gridCol w:w="8095"/>
        <w:gridCol w:w="872"/>
      </w:tblGrid>
      <w:tr w:rsidR="0071404A" w:rsidRPr="00DB5C79" w14:paraId="741A28E5" w14:textId="77777777" w:rsidTr="00B60E84">
        <w:trPr>
          <w:trHeight w:val="386"/>
        </w:trPr>
        <w:tc>
          <w:tcPr>
            <w:tcW w:w="10263" w:type="dxa"/>
            <w:gridSpan w:val="3"/>
            <w:shd w:val="clear" w:color="auto" w:fill="FFFF00"/>
          </w:tcPr>
          <w:p w14:paraId="64999C9D" w14:textId="75A5E2F5" w:rsidR="0071404A" w:rsidRPr="00DB5C79" w:rsidRDefault="0071404A" w:rsidP="00B60E84">
            <w:pPr>
              <w:pStyle w:val="Titre2"/>
              <w:jc w:val="center"/>
            </w:pPr>
            <w:r w:rsidRPr="00DB5C79">
              <w:t xml:space="preserve">Réflexion </w:t>
            </w:r>
            <w:r w:rsidR="00A64125">
              <w:t>5</w:t>
            </w:r>
            <w:r>
              <w:t xml:space="preserve"> - Identifier les droits et devoirs des salariés et des employeurs</w:t>
            </w:r>
          </w:p>
        </w:tc>
      </w:tr>
      <w:tr w:rsidR="0071404A" w:rsidRPr="00F64ACE" w14:paraId="1FC19594" w14:textId="77777777" w:rsidTr="00B60E84">
        <w:trPr>
          <w:trHeight w:val="504"/>
        </w:trPr>
        <w:tc>
          <w:tcPr>
            <w:tcW w:w="1296" w:type="dxa"/>
            <w:shd w:val="clear" w:color="auto" w:fill="FFFF00"/>
            <w:vAlign w:val="center"/>
          </w:tcPr>
          <w:p w14:paraId="2A9FCEAE" w14:textId="77777777" w:rsidR="0071404A" w:rsidRPr="00F64ACE" w:rsidRDefault="0071404A" w:rsidP="00B60E84">
            <w:pPr>
              <w:rPr>
                <w:bCs/>
              </w:rPr>
            </w:pPr>
            <w:r w:rsidRPr="00F64ACE">
              <w:rPr>
                <w:bCs/>
              </w:rPr>
              <w:t>Durée : 15’</w:t>
            </w:r>
          </w:p>
        </w:tc>
        <w:tc>
          <w:tcPr>
            <w:tcW w:w="8095" w:type="dxa"/>
            <w:shd w:val="clear" w:color="auto" w:fill="FFFF00"/>
            <w:vAlign w:val="center"/>
          </w:tcPr>
          <w:p w14:paraId="4FC8BBDB" w14:textId="055406DE" w:rsidR="0071404A" w:rsidRPr="00F64ACE" w:rsidRDefault="00DE2104" w:rsidP="00B60E84">
            <w:pPr>
              <w:jc w:val="center"/>
              <w:rPr>
                <w:bCs/>
              </w:rPr>
            </w:pPr>
            <w:r>
              <w:rPr>
                <w:bCs/>
                <w:noProof/>
              </w:rPr>
              <w:drawing>
                <wp:inline distT="0" distB="0" distL="0" distR="0" wp14:anchorId="03982C46" wp14:editId="7FE720B0">
                  <wp:extent cx="324000" cy="324000"/>
                  <wp:effectExtent l="0" t="0" r="0" b="0"/>
                  <wp:docPr id="1041243968" name="Graphique 1041243968"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93657" name="Graphique 35309365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bCs/>
              </w:rPr>
              <w:t xml:space="preserve">ou </w:t>
            </w:r>
            <w:r>
              <w:rPr>
                <w:bCs/>
                <w:noProof/>
              </w:rPr>
              <w:drawing>
                <wp:inline distT="0" distB="0" distL="0" distR="0" wp14:anchorId="60DE0708" wp14:editId="40C0AAED">
                  <wp:extent cx="360000" cy="360000"/>
                  <wp:effectExtent l="0" t="0" r="0" b="2540"/>
                  <wp:docPr id="1981263006" name="Graphique 198126300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72876" name="Graphique 1614172876"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872" w:type="dxa"/>
            <w:shd w:val="clear" w:color="auto" w:fill="FFFF00"/>
            <w:vAlign w:val="center"/>
          </w:tcPr>
          <w:p w14:paraId="62DBA7CF" w14:textId="77777777" w:rsidR="0071404A" w:rsidRPr="00F64ACE" w:rsidRDefault="0071404A" w:rsidP="00B60E84">
            <w:pPr>
              <w:rPr>
                <w:bCs/>
              </w:rPr>
            </w:pPr>
            <w:r w:rsidRPr="00F64ACE">
              <w:rPr>
                <w:bCs/>
              </w:rPr>
              <w:t>Source</w:t>
            </w:r>
          </w:p>
        </w:tc>
      </w:tr>
    </w:tbl>
    <w:p w14:paraId="60941F63" w14:textId="77777777" w:rsidR="0071404A" w:rsidRPr="00F64ACE" w:rsidRDefault="0071404A" w:rsidP="0071404A">
      <w:pPr>
        <w:spacing w:before="120" w:after="120"/>
        <w:rPr>
          <w:b/>
          <w:sz w:val="24"/>
        </w:rPr>
      </w:pPr>
      <w:r w:rsidRPr="00F64ACE">
        <w:rPr>
          <w:b/>
          <w:sz w:val="24"/>
        </w:rPr>
        <w:t>Travail à faire</w:t>
      </w:r>
    </w:p>
    <w:p w14:paraId="4B385F0D" w14:textId="77777777" w:rsidR="00DE2104" w:rsidRPr="00DE2104" w:rsidRDefault="00DE2104" w:rsidP="00DE2104">
      <w:pPr>
        <w:rPr>
          <w:rFonts w:cs="Arial"/>
          <w:bCs/>
          <w:color w:val="000000"/>
          <w:spacing w:val="-2"/>
        </w:rPr>
      </w:pPr>
      <w:bookmarkStart w:id="0" w:name="_Réflexion_04_–"/>
      <w:bookmarkEnd w:id="0"/>
      <w:r w:rsidRPr="00DE2104">
        <w:rPr>
          <w:rFonts w:cs="Arial"/>
          <w:bCs/>
          <w:color w:val="000000"/>
          <w:spacing w:val="-2"/>
        </w:rPr>
        <w:t xml:space="preserve">Après avoir lu les </w:t>
      </w:r>
      <w:r w:rsidRPr="00DE2104">
        <w:rPr>
          <w:rFonts w:cs="Arial"/>
          <w:b/>
          <w:color w:val="000000"/>
          <w:spacing w:val="-2"/>
        </w:rPr>
        <w:t xml:space="preserve">documents 1 </w:t>
      </w:r>
      <w:r w:rsidRPr="00DE2104">
        <w:rPr>
          <w:rFonts w:cs="Arial"/>
          <w:bCs/>
          <w:color w:val="000000"/>
          <w:spacing w:val="-2"/>
        </w:rPr>
        <w:t xml:space="preserve">et </w:t>
      </w:r>
      <w:r w:rsidRPr="00DE2104">
        <w:rPr>
          <w:rFonts w:cs="Arial"/>
          <w:b/>
          <w:color w:val="000000"/>
          <w:spacing w:val="-2"/>
        </w:rPr>
        <w:t>2</w:t>
      </w:r>
      <w:r w:rsidRPr="00DE2104">
        <w:rPr>
          <w:rFonts w:cs="Arial"/>
          <w:bCs/>
          <w:color w:val="000000"/>
          <w:spacing w:val="-2"/>
        </w:rPr>
        <w:t xml:space="preserve"> répondez aux questions suivantes :</w:t>
      </w:r>
    </w:p>
    <w:p w14:paraId="5804AF87" w14:textId="77777777" w:rsidR="00B53D5D" w:rsidRDefault="00B53D5D" w:rsidP="00B53D5D">
      <w:pPr>
        <w:pStyle w:val="Paragraphedeliste"/>
        <w:numPr>
          <w:ilvl w:val="0"/>
          <w:numId w:val="6"/>
        </w:numPr>
        <w:rPr>
          <w:rFonts w:cs="Arial"/>
          <w:szCs w:val="20"/>
        </w:rPr>
      </w:pPr>
      <w:r w:rsidRPr="00CE3CCE">
        <w:rPr>
          <w:rFonts w:cs="Arial"/>
          <w:szCs w:val="20"/>
        </w:rPr>
        <w:t>Qui finance la formation professionnelle continue et comment ?</w:t>
      </w:r>
    </w:p>
    <w:p w14:paraId="46CEB25F" w14:textId="77777777" w:rsidR="00B53D5D" w:rsidRPr="00CE3CCE" w:rsidRDefault="00B53D5D" w:rsidP="00B53D5D">
      <w:pPr>
        <w:pStyle w:val="Paragraphedeliste"/>
        <w:numPr>
          <w:ilvl w:val="0"/>
          <w:numId w:val="6"/>
        </w:numPr>
        <w:rPr>
          <w:rFonts w:cs="Arial"/>
          <w:szCs w:val="20"/>
        </w:rPr>
      </w:pPr>
      <w:r>
        <w:rPr>
          <w:rFonts w:cs="Arial"/>
          <w:szCs w:val="20"/>
        </w:rPr>
        <w:t>Quel est le taux de cotisation d’une entreprise de 15 salariés ?</w:t>
      </w:r>
    </w:p>
    <w:p w14:paraId="029DC8AC" w14:textId="77777777" w:rsidR="00B53D5D" w:rsidRDefault="00B53D5D" w:rsidP="00B53D5D">
      <w:pPr>
        <w:pStyle w:val="Paragraphedeliste"/>
        <w:numPr>
          <w:ilvl w:val="0"/>
          <w:numId w:val="6"/>
        </w:numPr>
        <w:rPr>
          <w:rFonts w:cs="Arial"/>
          <w:szCs w:val="20"/>
        </w:rPr>
      </w:pPr>
      <w:r w:rsidRPr="00CE3CCE">
        <w:rPr>
          <w:rFonts w:cs="Arial"/>
          <w:szCs w:val="20"/>
        </w:rPr>
        <w:t>Quel</w:t>
      </w:r>
      <w:r>
        <w:rPr>
          <w:rFonts w:cs="Arial"/>
          <w:szCs w:val="20"/>
        </w:rPr>
        <w:t xml:space="preserve">s sont les </w:t>
      </w:r>
      <w:r w:rsidRPr="00CE3CCE">
        <w:rPr>
          <w:rFonts w:cs="Arial"/>
          <w:szCs w:val="20"/>
        </w:rPr>
        <w:t>organisme</w:t>
      </w:r>
      <w:r>
        <w:rPr>
          <w:rFonts w:cs="Arial"/>
          <w:szCs w:val="20"/>
        </w:rPr>
        <w:t>s</w:t>
      </w:r>
      <w:r w:rsidRPr="00CE3CCE">
        <w:rPr>
          <w:rFonts w:cs="Arial"/>
          <w:szCs w:val="20"/>
        </w:rPr>
        <w:t xml:space="preserve"> qui </w:t>
      </w:r>
      <w:r>
        <w:rPr>
          <w:rFonts w:cs="Arial"/>
          <w:szCs w:val="20"/>
        </w:rPr>
        <w:t>a</w:t>
      </w:r>
      <w:r w:rsidRPr="00186D9A">
        <w:rPr>
          <w:rFonts w:cs="Arial"/>
          <w:szCs w:val="20"/>
        </w:rPr>
        <w:t xml:space="preserve">ccompagnent la formation professionnelle continue </w:t>
      </w:r>
      <w:r w:rsidRPr="00CE3CCE">
        <w:rPr>
          <w:rFonts w:cs="Arial"/>
          <w:szCs w:val="20"/>
        </w:rPr>
        <w:t>?</w:t>
      </w:r>
    </w:p>
    <w:p w14:paraId="7A282002" w14:textId="77777777" w:rsidR="00B53D5D" w:rsidRPr="00CE3CCE" w:rsidRDefault="00B53D5D" w:rsidP="00B53D5D">
      <w:pPr>
        <w:pStyle w:val="Paragraphedeliste"/>
        <w:numPr>
          <w:ilvl w:val="0"/>
          <w:numId w:val="6"/>
        </w:numPr>
        <w:rPr>
          <w:rFonts w:cs="Arial"/>
          <w:szCs w:val="20"/>
        </w:rPr>
      </w:pPr>
      <w:r w:rsidRPr="00186D9A">
        <w:rPr>
          <w:rFonts w:cs="Arial"/>
          <w:szCs w:val="20"/>
        </w:rPr>
        <w:t xml:space="preserve">Quelle est la composition </w:t>
      </w:r>
      <w:r>
        <w:rPr>
          <w:rFonts w:cs="Arial"/>
          <w:szCs w:val="20"/>
        </w:rPr>
        <w:t>du conseil d’administration des OPCO ?</w:t>
      </w:r>
    </w:p>
    <w:p w14:paraId="7060EF67" w14:textId="77777777" w:rsidR="00B53D5D" w:rsidRDefault="00B53D5D" w:rsidP="00B53D5D">
      <w:pPr>
        <w:pStyle w:val="Paragraphedeliste"/>
        <w:numPr>
          <w:ilvl w:val="0"/>
          <w:numId w:val="6"/>
        </w:numPr>
        <w:rPr>
          <w:rFonts w:cs="Arial"/>
          <w:szCs w:val="20"/>
        </w:rPr>
      </w:pPr>
      <w:r w:rsidRPr="00CE3CCE">
        <w:rPr>
          <w:rFonts w:cs="Arial"/>
          <w:szCs w:val="20"/>
        </w:rPr>
        <w:t xml:space="preserve">Quel est </w:t>
      </w:r>
      <w:r>
        <w:rPr>
          <w:rFonts w:cs="Arial"/>
          <w:szCs w:val="20"/>
        </w:rPr>
        <w:t>leur</w:t>
      </w:r>
      <w:r w:rsidRPr="00CE3CCE">
        <w:rPr>
          <w:rFonts w:cs="Arial"/>
          <w:szCs w:val="20"/>
        </w:rPr>
        <w:t xml:space="preserve"> rôle ?</w:t>
      </w:r>
    </w:p>
    <w:p w14:paraId="3F8F3B02" w14:textId="77777777" w:rsidR="0071404A" w:rsidRPr="00CE3CCE" w:rsidRDefault="0071404A" w:rsidP="0071404A">
      <w:pPr>
        <w:pStyle w:val="Paragraphedeliste"/>
        <w:ind w:left="360"/>
        <w:rPr>
          <w:rFonts w:cs="Arial"/>
          <w:szCs w:val="20"/>
        </w:rPr>
      </w:pPr>
    </w:p>
    <w:p w14:paraId="74D79C62" w14:textId="77777777" w:rsidR="0071404A" w:rsidRPr="005D4E26" w:rsidRDefault="0071404A" w:rsidP="0071404A">
      <w:pPr>
        <w:widowControl w:val="0"/>
        <w:spacing w:before="240"/>
        <w:jc w:val="left"/>
        <w:rPr>
          <w:rFonts w:cs="Arial"/>
          <w:b/>
          <w:bCs/>
          <w:sz w:val="24"/>
        </w:rPr>
      </w:pPr>
      <w:r w:rsidRPr="00494DB5">
        <w:rPr>
          <w:b/>
          <w:color w:val="FFFFFF" w:themeColor="background1"/>
          <w:sz w:val="24"/>
          <w:highlight w:val="red"/>
        </w:rPr>
        <w:t xml:space="preserve">Doc </w:t>
      </w:r>
      <w:r>
        <w:rPr>
          <w:b/>
          <w:color w:val="FFFFFF" w:themeColor="background1"/>
          <w:sz w:val="24"/>
          <w:highlight w:val="red"/>
        </w:rPr>
        <w:t>1</w:t>
      </w:r>
      <w:r w:rsidRPr="00494DB5">
        <w:rPr>
          <w:b/>
          <w:color w:val="FFFFFF" w:themeColor="background1"/>
          <w:sz w:val="24"/>
          <w:highlight w:val="red"/>
        </w:rPr>
        <w:t> </w:t>
      </w:r>
      <w:r w:rsidRPr="00494DB5">
        <w:rPr>
          <w:b/>
          <w:color w:val="FFFFFF" w:themeColor="background1"/>
          <w:sz w:val="24"/>
        </w:rPr>
        <w:t xml:space="preserve"> </w:t>
      </w:r>
      <w:r>
        <w:rPr>
          <w:rFonts w:cs="Arial"/>
          <w:b/>
          <w:bCs/>
          <w:sz w:val="24"/>
        </w:rPr>
        <w:t xml:space="preserve"> </w:t>
      </w:r>
      <w:r w:rsidRPr="005D4E26">
        <w:rPr>
          <w:rFonts w:cs="Arial"/>
          <w:b/>
          <w:bCs/>
          <w:sz w:val="24"/>
        </w:rPr>
        <w:t>Participation à la formation professionnelle continue </w:t>
      </w:r>
    </w:p>
    <w:p w14:paraId="0E974195" w14:textId="77777777" w:rsidR="0071404A" w:rsidRPr="000B26D9" w:rsidRDefault="0071404A" w:rsidP="0071404A">
      <w:pPr>
        <w:pStyle w:val="intro"/>
        <w:shd w:val="clear" w:color="auto" w:fill="FFFFFF"/>
        <w:spacing w:before="120" w:after="0" w:line="240" w:lineRule="auto"/>
        <w:ind w:left="0"/>
        <w:rPr>
          <w:rFonts w:cs="Arial"/>
          <w:color w:val="000000"/>
          <w:sz w:val="20"/>
          <w:szCs w:val="20"/>
        </w:rPr>
      </w:pPr>
      <w:r w:rsidRPr="000B26D9">
        <w:rPr>
          <w:rFonts w:cs="Arial"/>
          <w:color w:val="000000"/>
          <w:sz w:val="20"/>
          <w:szCs w:val="20"/>
        </w:rPr>
        <w:t xml:space="preserve">Tout employeur, quel que soit le nombre de salariés, la nature de l'activité ou le statut juridique, doit participer au financement des actions de formation continue de son personnel et des demandeurs d'emploi, en payant une taxe annuelle, dont le montant dépend du nombre de salariés. </w:t>
      </w:r>
      <w:bookmarkStart w:id="1" w:name="N1007C"/>
      <w:bookmarkEnd w:id="1"/>
    </w:p>
    <w:tbl>
      <w:tblPr>
        <w:tblStyle w:val="Grilledutableau"/>
        <w:tblpPr w:leftFromText="141" w:rightFromText="141" w:vertAnchor="text" w:horzAnchor="margin" w:tblpXSpec="right" w:tblpY="19"/>
        <w:tblW w:w="0" w:type="auto"/>
        <w:shd w:val="clear" w:color="auto" w:fill="DEEAF6" w:themeFill="accent1" w:themeFillTint="33"/>
        <w:tblLook w:val="04A0" w:firstRow="1" w:lastRow="0" w:firstColumn="1" w:lastColumn="0" w:noHBand="0" w:noVBand="1"/>
      </w:tblPr>
      <w:tblGrid>
        <w:gridCol w:w="1592"/>
        <w:gridCol w:w="2047"/>
      </w:tblGrid>
      <w:tr w:rsidR="0071404A" w:rsidRPr="000B26D9" w14:paraId="45BC98D5" w14:textId="77777777" w:rsidTr="00B60E84">
        <w:tc>
          <w:tcPr>
            <w:tcW w:w="1592" w:type="dxa"/>
            <w:shd w:val="clear" w:color="auto" w:fill="DEEAF6" w:themeFill="accent1" w:themeFillTint="33"/>
          </w:tcPr>
          <w:p w14:paraId="5BBBACD8" w14:textId="77777777" w:rsidR="0071404A" w:rsidRPr="0078781C" w:rsidRDefault="0071404A" w:rsidP="00B60E84">
            <w:pPr>
              <w:jc w:val="center"/>
              <w:outlineLvl w:val="4"/>
              <w:rPr>
                <w:rFonts w:cs="Arial"/>
                <w:b/>
                <w:bCs/>
                <w:sz w:val="18"/>
                <w:szCs w:val="18"/>
              </w:rPr>
            </w:pPr>
            <w:r w:rsidRPr="0078781C">
              <w:rPr>
                <w:rFonts w:cs="Arial"/>
                <w:b/>
                <w:bCs/>
                <w:sz w:val="18"/>
                <w:szCs w:val="18"/>
              </w:rPr>
              <w:t xml:space="preserve">Effectif </w:t>
            </w:r>
          </w:p>
          <w:p w14:paraId="49E2D1C1" w14:textId="77777777" w:rsidR="0071404A" w:rsidRPr="0078781C" w:rsidRDefault="0071404A" w:rsidP="00B60E84">
            <w:pPr>
              <w:jc w:val="center"/>
              <w:outlineLvl w:val="4"/>
              <w:rPr>
                <w:rFonts w:cs="Arial"/>
                <w:sz w:val="18"/>
                <w:szCs w:val="18"/>
              </w:rPr>
            </w:pPr>
            <w:r w:rsidRPr="0078781C">
              <w:rPr>
                <w:rFonts w:cs="Arial"/>
                <w:b/>
                <w:bCs/>
                <w:sz w:val="18"/>
                <w:szCs w:val="18"/>
              </w:rPr>
              <w:t xml:space="preserve"> l'entreprise</w:t>
            </w:r>
          </w:p>
        </w:tc>
        <w:tc>
          <w:tcPr>
            <w:tcW w:w="2047" w:type="dxa"/>
            <w:shd w:val="clear" w:color="auto" w:fill="DEEAF6" w:themeFill="accent1" w:themeFillTint="33"/>
          </w:tcPr>
          <w:p w14:paraId="1D95B98C" w14:textId="77777777" w:rsidR="0071404A" w:rsidRPr="0078781C" w:rsidRDefault="0071404A" w:rsidP="00B60E84">
            <w:pPr>
              <w:jc w:val="center"/>
              <w:outlineLvl w:val="4"/>
              <w:rPr>
                <w:rFonts w:cs="Arial"/>
                <w:b/>
                <w:bCs/>
                <w:sz w:val="18"/>
                <w:szCs w:val="18"/>
              </w:rPr>
            </w:pPr>
            <w:r w:rsidRPr="0078781C">
              <w:rPr>
                <w:rFonts w:cs="Arial"/>
                <w:b/>
                <w:bCs/>
                <w:sz w:val="18"/>
                <w:szCs w:val="18"/>
              </w:rPr>
              <w:t>Taux de cotisation</w:t>
            </w:r>
          </w:p>
          <w:p w14:paraId="13FC00EF" w14:textId="77777777" w:rsidR="0071404A" w:rsidRPr="0078781C" w:rsidRDefault="0071404A" w:rsidP="00B60E84">
            <w:pPr>
              <w:jc w:val="center"/>
              <w:outlineLvl w:val="4"/>
              <w:rPr>
                <w:rFonts w:cs="Arial"/>
                <w:b/>
                <w:bCs/>
                <w:sz w:val="18"/>
                <w:szCs w:val="18"/>
              </w:rPr>
            </w:pPr>
            <w:r w:rsidRPr="0078781C">
              <w:rPr>
                <w:rFonts w:cs="Arial"/>
                <w:b/>
                <w:bCs/>
                <w:sz w:val="18"/>
                <w:szCs w:val="18"/>
              </w:rPr>
              <w:t>Entreprise  générale</w:t>
            </w:r>
          </w:p>
        </w:tc>
      </w:tr>
      <w:tr w:rsidR="0071404A" w:rsidRPr="000B26D9" w14:paraId="295CD0BD" w14:textId="77777777" w:rsidTr="00B60E84">
        <w:tc>
          <w:tcPr>
            <w:tcW w:w="1592" w:type="dxa"/>
            <w:shd w:val="clear" w:color="auto" w:fill="DEEAF6" w:themeFill="accent1" w:themeFillTint="33"/>
          </w:tcPr>
          <w:p w14:paraId="6F3FEC35" w14:textId="77777777" w:rsidR="0071404A" w:rsidRPr="0078781C" w:rsidRDefault="0071404A" w:rsidP="00B60E84">
            <w:pPr>
              <w:pStyle w:val="Paragraphedeliste"/>
              <w:spacing w:before="20" w:after="20"/>
              <w:ind w:left="0"/>
              <w:jc w:val="center"/>
              <w:rPr>
                <w:rFonts w:eastAsiaTheme="minorHAnsi" w:cs="Arial"/>
                <w:sz w:val="18"/>
                <w:szCs w:val="18"/>
              </w:rPr>
            </w:pPr>
            <w:r w:rsidRPr="0078781C">
              <w:rPr>
                <w:rFonts w:eastAsiaTheme="minorHAnsi" w:cs="Arial"/>
                <w:sz w:val="18"/>
                <w:szCs w:val="18"/>
              </w:rPr>
              <w:t>- de 11 salariés</w:t>
            </w:r>
          </w:p>
        </w:tc>
        <w:tc>
          <w:tcPr>
            <w:tcW w:w="2047" w:type="dxa"/>
            <w:shd w:val="clear" w:color="auto" w:fill="DEEAF6" w:themeFill="accent1" w:themeFillTint="33"/>
          </w:tcPr>
          <w:p w14:paraId="02559C60" w14:textId="5E7758DC" w:rsidR="0071404A" w:rsidRPr="0078781C" w:rsidRDefault="0071404A" w:rsidP="00B60E84">
            <w:pPr>
              <w:spacing w:before="20" w:after="20"/>
              <w:jc w:val="center"/>
              <w:rPr>
                <w:rFonts w:cs="Arial"/>
                <w:sz w:val="18"/>
                <w:szCs w:val="18"/>
              </w:rPr>
            </w:pPr>
            <w:r w:rsidRPr="0078781C">
              <w:rPr>
                <w:rFonts w:cs="Arial"/>
                <w:sz w:val="18"/>
                <w:szCs w:val="18"/>
              </w:rPr>
              <w:t>0,</w:t>
            </w:r>
            <w:r w:rsidR="00AD239C">
              <w:rPr>
                <w:rFonts w:cs="Arial"/>
                <w:sz w:val="18"/>
                <w:szCs w:val="18"/>
              </w:rPr>
              <w:t>5</w:t>
            </w:r>
            <w:r w:rsidRPr="0078781C">
              <w:rPr>
                <w:rFonts w:cs="Arial"/>
                <w:sz w:val="18"/>
                <w:szCs w:val="18"/>
              </w:rPr>
              <w:t>5 %</w:t>
            </w:r>
          </w:p>
        </w:tc>
      </w:tr>
      <w:tr w:rsidR="0071404A" w:rsidRPr="000B26D9" w14:paraId="01AFF697" w14:textId="77777777" w:rsidTr="00B60E84">
        <w:tc>
          <w:tcPr>
            <w:tcW w:w="1592" w:type="dxa"/>
            <w:shd w:val="clear" w:color="auto" w:fill="DEEAF6" w:themeFill="accent1" w:themeFillTint="33"/>
          </w:tcPr>
          <w:p w14:paraId="68C0AF89" w14:textId="77777777" w:rsidR="0071404A" w:rsidRPr="0078781C" w:rsidRDefault="0071404A" w:rsidP="00B60E84">
            <w:pPr>
              <w:spacing w:before="20" w:after="20"/>
              <w:jc w:val="center"/>
              <w:rPr>
                <w:rFonts w:cs="Arial"/>
                <w:sz w:val="18"/>
                <w:szCs w:val="18"/>
              </w:rPr>
            </w:pPr>
            <w:r w:rsidRPr="0078781C">
              <w:rPr>
                <w:rFonts w:cs="Arial"/>
                <w:sz w:val="18"/>
                <w:szCs w:val="18"/>
              </w:rPr>
              <w:t>+ de 10 salariés</w:t>
            </w:r>
          </w:p>
        </w:tc>
        <w:tc>
          <w:tcPr>
            <w:tcW w:w="2047" w:type="dxa"/>
            <w:shd w:val="clear" w:color="auto" w:fill="DEEAF6" w:themeFill="accent1" w:themeFillTint="33"/>
          </w:tcPr>
          <w:p w14:paraId="431B198C" w14:textId="548BDB2C" w:rsidR="0071404A" w:rsidRPr="0078781C" w:rsidRDefault="0071404A" w:rsidP="00B60E84">
            <w:pPr>
              <w:spacing w:before="20" w:after="20"/>
              <w:jc w:val="center"/>
              <w:rPr>
                <w:rFonts w:cs="Arial"/>
                <w:sz w:val="18"/>
                <w:szCs w:val="18"/>
              </w:rPr>
            </w:pPr>
            <w:r w:rsidRPr="0078781C">
              <w:rPr>
                <w:rFonts w:cs="Arial"/>
                <w:sz w:val="18"/>
                <w:szCs w:val="18"/>
              </w:rPr>
              <w:t>1,</w:t>
            </w:r>
            <w:r w:rsidR="00AD239C">
              <w:rPr>
                <w:rFonts w:cs="Arial"/>
                <w:sz w:val="18"/>
                <w:szCs w:val="18"/>
              </w:rPr>
              <w:t>00</w:t>
            </w:r>
            <w:r w:rsidRPr="0078781C">
              <w:rPr>
                <w:rFonts w:cs="Arial"/>
                <w:sz w:val="18"/>
                <w:szCs w:val="18"/>
              </w:rPr>
              <w:t> %</w:t>
            </w:r>
          </w:p>
        </w:tc>
      </w:tr>
    </w:tbl>
    <w:p w14:paraId="5693B374" w14:textId="77777777" w:rsidR="0071404A" w:rsidRDefault="0071404A" w:rsidP="0071404A">
      <w:pPr>
        <w:shd w:val="clear" w:color="auto" w:fill="FFFFFF"/>
        <w:spacing w:before="120"/>
        <w:outlineLvl w:val="4"/>
        <w:rPr>
          <w:rFonts w:cs="Arial"/>
          <w:color w:val="000000"/>
          <w:szCs w:val="20"/>
        </w:rPr>
      </w:pPr>
      <w:r w:rsidRPr="000B26D9">
        <w:rPr>
          <w:rFonts w:cs="Arial"/>
          <w:b/>
          <w:bCs/>
          <w:color w:val="000000"/>
          <w:szCs w:val="20"/>
        </w:rPr>
        <w:t>Base de calcul </w:t>
      </w:r>
      <w:r w:rsidRPr="0078781C">
        <w:rPr>
          <w:rFonts w:cs="Arial"/>
          <w:color w:val="000000"/>
          <w:szCs w:val="20"/>
        </w:rPr>
        <w:t>:</w:t>
      </w:r>
      <w:r>
        <w:rPr>
          <w:rFonts w:cs="Arial"/>
          <w:b/>
          <w:bCs/>
          <w:color w:val="000000"/>
          <w:szCs w:val="20"/>
        </w:rPr>
        <w:t xml:space="preserve"> </w:t>
      </w:r>
      <w:r>
        <w:rPr>
          <w:rFonts w:cs="Arial"/>
          <w:color w:val="000000"/>
          <w:szCs w:val="20"/>
        </w:rPr>
        <w:t>e</w:t>
      </w:r>
      <w:r w:rsidRPr="000B26D9">
        <w:rPr>
          <w:rFonts w:cs="Arial"/>
          <w:color w:val="000000"/>
          <w:szCs w:val="20"/>
        </w:rPr>
        <w:t xml:space="preserve">lle est composée du montant total des rémunérations imposables et des avantages en nature versés pendant l'année au personnel : salaires, cotisations salariales, primes, gratifications, indemnités, pourboires, etc. </w:t>
      </w:r>
    </w:p>
    <w:p w14:paraId="7B58569C" w14:textId="77777777" w:rsidR="0071404A" w:rsidRDefault="0071404A" w:rsidP="0071404A">
      <w:pPr>
        <w:spacing w:after="120"/>
        <w:jc w:val="center"/>
      </w:pPr>
    </w:p>
    <w:p w14:paraId="06FF9DFB" w14:textId="77777777" w:rsidR="0071404A" w:rsidRDefault="0071404A" w:rsidP="0071404A"/>
    <w:p w14:paraId="175C4AAD" w14:textId="77777777" w:rsidR="0071404A" w:rsidRPr="002E2BF7" w:rsidRDefault="0071404A" w:rsidP="0071404A">
      <w:pPr>
        <w:spacing w:after="120"/>
        <w:jc w:val="center"/>
        <w:rPr>
          <w:rFonts w:cs="Arial"/>
          <w:i/>
          <w:color w:val="FF0000"/>
          <w:sz w:val="18"/>
          <w:szCs w:val="18"/>
        </w:rPr>
      </w:pPr>
      <w:hyperlink r:id="rId9" w:history="1"/>
      <w:r w:rsidRPr="002E2BF7">
        <w:rPr>
          <w:rStyle w:val="Lienhypertexte"/>
          <w:rFonts w:cs="Arial"/>
          <w:i/>
          <w:sz w:val="18"/>
          <w:szCs w:val="18"/>
        </w:rPr>
        <w:t xml:space="preserve"> </w:t>
      </w:r>
      <w:r w:rsidRPr="002E2BF7">
        <w:rPr>
          <w:rFonts w:cs="Arial"/>
          <w:i/>
          <w:color w:val="FF0000"/>
          <w:sz w:val="18"/>
          <w:szCs w:val="18"/>
        </w:rPr>
        <w:t xml:space="preserve"> </w:t>
      </w:r>
    </w:p>
    <w:p w14:paraId="4AA993EE" w14:textId="77777777" w:rsidR="0071404A" w:rsidRDefault="0071404A" w:rsidP="0071404A">
      <w:pPr>
        <w:jc w:val="left"/>
        <w:rPr>
          <w:rFonts w:cs="Arial"/>
          <w:b/>
          <w:bCs/>
          <w:sz w:val="24"/>
        </w:rPr>
      </w:pPr>
      <w:r w:rsidRPr="00494DB5">
        <w:rPr>
          <w:b/>
          <w:color w:val="FFFFFF" w:themeColor="background1"/>
          <w:sz w:val="24"/>
          <w:highlight w:val="red"/>
        </w:rPr>
        <w:t xml:space="preserve">Doc </w:t>
      </w:r>
      <w:r>
        <w:rPr>
          <w:b/>
          <w:color w:val="FFFFFF" w:themeColor="background1"/>
          <w:sz w:val="24"/>
          <w:highlight w:val="red"/>
        </w:rPr>
        <w:t>2</w:t>
      </w:r>
      <w:r w:rsidRPr="00494DB5">
        <w:rPr>
          <w:b/>
          <w:color w:val="FFFFFF" w:themeColor="background1"/>
          <w:sz w:val="24"/>
          <w:highlight w:val="red"/>
        </w:rPr>
        <w:t> </w:t>
      </w:r>
      <w:r w:rsidRPr="00494DB5">
        <w:rPr>
          <w:b/>
          <w:color w:val="FFFFFF" w:themeColor="background1"/>
          <w:sz w:val="24"/>
        </w:rPr>
        <w:t xml:space="preserve"> </w:t>
      </w:r>
      <w:r>
        <w:rPr>
          <w:rFonts w:cs="Arial"/>
          <w:b/>
          <w:bCs/>
          <w:sz w:val="24"/>
        </w:rPr>
        <w:t xml:space="preserve"> </w:t>
      </w:r>
      <w:r w:rsidRPr="00186D9A">
        <w:rPr>
          <w:rFonts w:cs="Arial"/>
          <w:b/>
          <w:bCs/>
          <w:sz w:val="24"/>
        </w:rPr>
        <w:t xml:space="preserve">Les opérateurs de compétences </w:t>
      </w:r>
      <w:r>
        <w:rPr>
          <w:rFonts w:cs="Arial"/>
          <w:b/>
          <w:bCs/>
          <w:sz w:val="24"/>
        </w:rPr>
        <w:t>(OPCO)</w:t>
      </w:r>
    </w:p>
    <w:p w14:paraId="669CFD6E" w14:textId="77777777" w:rsidR="0071404A" w:rsidRDefault="0071404A" w:rsidP="0071404A">
      <w:pPr>
        <w:jc w:val="left"/>
        <w:rPr>
          <w:rFonts w:cs="Arial"/>
          <w:b/>
          <w:bCs/>
          <w:sz w:val="24"/>
        </w:rPr>
      </w:pPr>
    </w:p>
    <w:p w14:paraId="2FB35B59" w14:textId="34937AD4" w:rsidR="0071404A" w:rsidRPr="00186D9A" w:rsidRDefault="0071404A" w:rsidP="0071404A">
      <w:pPr>
        <w:shd w:val="clear" w:color="auto" w:fill="E2EFD9" w:themeFill="accent6" w:themeFillTint="33"/>
        <w:rPr>
          <w:rFonts w:cs="Arial"/>
          <w:color w:val="000000"/>
          <w:szCs w:val="20"/>
        </w:rPr>
      </w:pPr>
      <w:r w:rsidRPr="00186D9A">
        <w:rPr>
          <w:rFonts w:cs="Arial"/>
          <w:color w:val="000000"/>
          <w:szCs w:val="20"/>
        </w:rPr>
        <w:t>Le 1</w:t>
      </w:r>
      <w:r w:rsidR="00DE2104" w:rsidRPr="00DE2104">
        <w:rPr>
          <w:rFonts w:cs="Arial"/>
          <w:color w:val="000000"/>
          <w:szCs w:val="20"/>
          <w:vertAlign w:val="superscript"/>
        </w:rPr>
        <w:t>er</w:t>
      </w:r>
      <w:r w:rsidR="00DE2104">
        <w:rPr>
          <w:rFonts w:cs="Arial"/>
          <w:color w:val="000000"/>
          <w:szCs w:val="20"/>
        </w:rPr>
        <w:t xml:space="preserve"> </w:t>
      </w:r>
      <w:r w:rsidRPr="00186D9A">
        <w:rPr>
          <w:rFonts w:cs="Arial"/>
          <w:color w:val="000000"/>
          <w:szCs w:val="20"/>
        </w:rPr>
        <w:t>avril 2019, onze opérateurs de compétences (OCPO), chargés d’accompagner la formation professionnelle, ont été agréés. Ils remplacent les anciens organismes paritaires collecteurs agréées (OPCA).</w:t>
      </w:r>
    </w:p>
    <w:p w14:paraId="0EC43EE0" w14:textId="77777777" w:rsidR="0071404A" w:rsidRPr="00186D9A" w:rsidRDefault="0071404A" w:rsidP="0071404A">
      <w:pPr>
        <w:shd w:val="clear" w:color="auto" w:fill="E2EFD9" w:themeFill="accent6" w:themeFillTint="33"/>
        <w:spacing w:before="120"/>
        <w:rPr>
          <w:rFonts w:cs="Arial"/>
          <w:color w:val="000000"/>
          <w:szCs w:val="20"/>
        </w:rPr>
      </w:pPr>
      <w:r w:rsidRPr="00186D9A">
        <w:rPr>
          <w:rFonts w:cs="Arial"/>
          <w:color w:val="000000"/>
          <w:szCs w:val="20"/>
        </w:rPr>
        <w:t>Ces opérateurs de compétences ont pour missions de financer l’apprentissage, d’aider les branches à construire les certifications professionnelles et d’accompagner les PME pour définir leurs besoins en formation.</w:t>
      </w:r>
    </w:p>
    <w:p w14:paraId="19ACCD2D" w14:textId="77777777" w:rsidR="0071404A" w:rsidRDefault="0071404A" w:rsidP="0071404A">
      <w:pPr>
        <w:spacing w:before="120"/>
        <w:jc w:val="left"/>
        <w:rPr>
          <w:b/>
        </w:rPr>
      </w:pPr>
    </w:p>
    <w:p w14:paraId="1547FADC" w14:textId="77777777" w:rsidR="0071404A" w:rsidRPr="002E2BF7" w:rsidRDefault="0071404A" w:rsidP="0071404A">
      <w:pPr>
        <w:spacing w:before="120"/>
        <w:jc w:val="left"/>
        <w:rPr>
          <w:b/>
        </w:rPr>
      </w:pPr>
      <w:r w:rsidRPr="002E2BF7">
        <w:rPr>
          <w:b/>
        </w:rPr>
        <w:t>Rôle des OP</w:t>
      </w:r>
      <w:r>
        <w:rPr>
          <w:b/>
        </w:rPr>
        <w:t>CO</w:t>
      </w:r>
      <w:r w:rsidRPr="002E2BF7">
        <w:rPr>
          <w:b/>
        </w:rPr>
        <w:t xml:space="preserve"> (Fongecif, Uniformation, Afdas, Unifaf, Opcalim, ...)</w:t>
      </w:r>
    </w:p>
    <w:p w14:paraId="056F96A7" w14:textId="77777777" w:rsidR="0071404A" w:rsidRPr="002E2BF7" w:rsidRDefault="0071404A" w:rsidP="0071404A">
      <w:pPr>
        <w:spacing w:before="120"/>
        <w:jc w:val="left"/>
        <w:rPr>
          <w:i/>
        </w:rPr>
      </w:pPr>
      <w:r w:rsidRPr="002E2BF7">
        <w:rPr>
          <w:i/>
        </w:rPr>
        <w:t xml:space="preserve">Source : </w:t>
      </w:r>
      <w:r>
        <w:rPr>
          <w:i/>
        </w:rPr>
        <w:t>https://travail-emploi.gouv.fr</w:t>
      </w:r>
    </w:p>
    <w:p w14:paraId="24F33825" w14:textId="77777777" w:rsidR="0071404A" w:rsidRPr="00186D9A" w:rsidRDefault="0071404A" w:rsidP="0071404A">
      <w:pPr>
        <w:spacing w:before="120"/>
      </w:pPr>
      <w:r w:rsidRPr="00186D9A">
        <w:t>LES OPCO ont pour mission :</w:t>
      </w:r>
    </w:p>
    <w:p w14:paraId="21BDB51E" w14:textId="77777777" w:rsidR="0071404A" w:rsidRPr="00186D9A" w:rsidRDefault="0071404A" w:rsidP="0071404A">
      <w:pPr>
        <w:pStyle w:val="Paragraphedeliste"/>
        <w:numPr>
          <w:ilvl w:val="0"/>
          <w:numId w:val="7"/>
        </w:numPr>
      </w:pPr>
      <w:r w:rsidRPr="00186D9A">
        <w:t>d’assurer le financement des contrats d’apprentissage et de professionnalisation, selon les niveaux de prise en charge fixés par les branches professionnelles ;</w:t>
      </w:r>
    </w:p>
    <w:p w14:paraId="05D9F2EE" w14:textId="77777777" w:rsidR="0071404A" w:rsidRPr="00186D9A" w:rsidRDefault="0071404A" w:rsidP="0071404A">
      <w:pPr>
        <w:pStyle w:val="Paragraphedeliste"/>
        <w:numPr>
          <w:ilvl w:val="0"/>
          <w:numId w:val="7"/>
        </w:numPr>
      </w:pPr>
      <w:r w:rsidRPr="00186D9A">
        <w:t>d’apporter un appui technique aux branches professionnelles pour :</w:t>
      </w:r>
    </w:p>
    <w:p w14:paraId="15493C53" w14:textId="77777777" w:rsidR="0071404A" w:rsidRPr="00186D9A" w:rsidRDefault="0071404A" w:rsidP="0071404A">
      <w:pPr>
        <w:pStyle w:val="Paragraphedeliste"/>
        <w:numPr>
          <w:ilvl w:val="0"/>
          <w:numId w:val="9"/>
        </w:numPr>
      </w:pPr>
      <w:r w:rsidRPr="00186D9A">
        <w:t>établir la gestion prévisionnelle de l’emploi et des compétences (GPEC) ;</w:t>
      </w:r>
    </w:p>
    <w:p w14:paraId="359C07E8" w14:textId="77777777" w:rsidR="0071404A" w:rsidRPr="00186D9A" w:rsidRDefault="0071404A" w:rsidP="0071404A">
      <w:pPr>
        <w:pStyle w:val="Paragraphedeliste"/>
        <w:numPr>
          <w:ilvl w:val="0"/>
          <w:numId w:val="9"/>
        </w:numPr>
      </w:pPr>
      <w:r w:rsidRPr="00186D9A">
        <w:t>déterminer les niveaux de prise en charge des contrats d’apprentissage et des contrats de professionnalisation ;</w:t>
      </w:r>
    </w:p>
    <w:p w14:paraId="3DE81B42" w14:textId="77777777" w:rsidR="0071404A" w:rsidRPr="00186D9A" w:rsidRDefault="0071404A" w:rsidP="0071404A">
      <w:pPr>
        <w:pStyle w:val="Paragraphedeliste"/>
        <w:numPr>
          <w:ilvl w:val="0"/>
          <w:numId w:val="9"/>
        </w:numPr>
      </w:pPr>
      <w:r w:rsidRPr="00186D9A">
        <w:t>les accompagner dans leur mission de certification (construction des référentiels de certification qui décrivent précisément les capacités, compétences et savoirs exigés pour l’obtention de la certification visée) ;</w:t>
      </w:r>
    </w:p>
    <w:p w14:paraId="0C6A93DD" w14:textId="77777777" w:rsidR="0071404A" w:rsidRPr="00186D9A" w:rsidRDefault="0071404A" w:rsidP="0071404A">
      <w:pPr>
        <w:pStyle w:val="Paragraphedeliste"/>
        <w:numPr>
          <w:ilvl w:val="0"/>
          <w:numId w:val="8"/>
        </w:numPr>
      </w:pPr>
      <w:r w:rsidRPr="00186D9A">
        <w:t>d’assurer un service de proximité au bénéfice des très petites, petites et moyennes entreprises, permettant :</w:t>
      </w:r>
    </w:p>
    <w:p w14:paraId="6FB73370" w14:textId="77777777" w:rsidR="0071404A" w:rsidRPr="00186D9A" w:rsidRDefault="0071404A" w:rsidP="0071404A">
      <w:pPr>
        <w:pStyle w:val="Paragraphedeliste"/>
        <w:numPr>
          <w:ilvl w:val="0"/>
          <w:numId w:val="10"/>
        </w:numPr>
      </w:pPr>
      <w:r w:rsidRPr="00186D9A">
        <w:t>d’améliorer l’information et l’accès des salariés de ces entreprises à la formation professionnelle ;</w:t>
      </w:r>
    </w:p>
    <w:p w14:paraId="623D4BB1" w14:textId="77777777" w:rsidR="0071404A" w:rsidRPr="00186D9A" w:rsidRDefault="0071404A" w:rsidP="0071404A">
      <w:pPr>
        <w:pStyle w:val="Paragraphedeliste"/>
        <w:numPr>
          <w:ilvl w:val="0"/>
          <w:numId w:val="10"/>
        </w:numPr>
      </w:pPr>
      <w:r w:rsidRPr="00186D9A">
        <w:t>d’accompagner ces entreprises dans l’analyse et la définition de leurs besoins en matière de formation professionnelle, notamment au regard des mutations économiques et techniques de leur secteur d’activité.</w:t>
      </w:r>
    </w:p>
    <w:p w14:paraId="648DB6D1" w14:textId="77777777" w:rsidR="0071404A" w:rsidRPr="00186D9A" w:rsidRDefault="0071404A" w:rsidP="0071404A">
      <w:pPr>
        <w:spacing w:before="120"/>
        <w:jc w:val="left"/>
        <w:rPr>
          <w:b/>
        </w:rPr>
      </w:pPr>
      <w:r w:rsidRPr="00186D9A">
        <w:rPr>
          <w:b/>
        </w:rPr>
        <w:t>Gouvernance des OPCO</w:t>
      </w:r>
    </w:p>
    <w:p w14:paraId="2BAB50E2" w14:textId="77777777" w:rsidR="0071404A" w:rsidRDefault="0071404A" w:rsidP="0071404A">
      <w:pPr>
        <w:spacing w:before="120"/>
      </w:pPr>
      <w:r w:rsidRPr="00186D9A">
        <w:t>Le conseil d’administration de l’OPCO est composé d’un nombre égal de représentants des employeurs et des salariés, et il tient compte de la diversité des branches professionnelles adhérentes.</w:t>
      </w:r>
    </w:p>
    <w:p w14:paraId="664AC996" w14:textId="77777777" w:rsidR="0071404A" w:rsidRPr="00186D9A" w:rsidRDefault="0071404A" w:rsidP="0071404A">
      <w:pPr>
        <w:spacing w:before="120"/>
      </w:pPr>
      <w:r w:rsidRPr="00186D9A">
        <w:t>Un commissaire du gouvernement assiste aux séances du conseil d’administration avec voix consultative.</w:t>
      </w:r>
    </w:p>
    <w:p w14:paraId="5E247760" w14:textId="77777777" w:rsidR="0071404A" w:rsidRDefault="0071404A" w:rsidP="0071404A">
      <w:pPr>
        <w:spacing w:before="120"/>
        <w:jc w:val="left"/>
        <w:rPr>
          <w:rFonts w:cs="Arial"/>
          <w:sz w:val="14"/>
          <w:szCs w:val="18"/>
        </w:rPr>
      </w:pPr>
    </w:p>
    <w:p w14:paraId="718A7E4F" w14:textId="75895773" w:rsidR="0071404A" w:rsidRPr="00B53D5D" w:rsidRDefault="00A04F4A" w:rsidP="0071404A">
      <w:pPr>
        <w:rPr>
          <w:rFonts w:cs="Arial"/>
          <w:b/>
          <w:bCs/>
          <w:sz w:val="24"/>
        </w:rPr>
      </w:pPr>
      <w:r>
        <w:rPr>
          <w:rFonts w:cs="Arial"/>
          <w:b/>
          <w:bCs/>
          <w:sz w:val="24"/>
        </w:rPr>
        <w:lastRenderedPageBreak/>
        <w:t>Réponses</w:t>
      </w:r>
      <w:r w:rsidR="0071404A" w:rsidRPr="00B53D5D">
        <w:rPr>
          <w:rFonts w:cs="Arial"/>
          <w:b/>
          <w:bCs/>
          <w:sz w:val="24"/>
        </w:rPr>
        <w:t xml:space="preserve"> </w:t>
      </w:r>
    </w:p>
    <w:p w14:paraId="3F59C2FB" w14:textId="7199DD77" w:rsidR="00B53D5D" w:rsidRPr="00A04F4A" w:rsidRDefault="00B53D5D" w:rsidP="0071404A">
      <w:pPr>
        <w:rPr>
          <w:rFonts w:cs="Arial"/>
          <w:b/>
          <w:bCs/>
          <w:sz w:val="22"/>
          <w:szCs w:val="22"/>
        </w:rPr>
      </w:pPr>
    </w:p>
    <w:p w14:paraId="32544333" w14:textId="06C3D504" w:rsidR="00B53D5D" w:rsidRPr="00A04F4A" w:rsidRDefault="00B53D5D" w:rsidP="00B53D5D">
      <w:pPr>
        <w:pStyle w:val="Paragraphedeliste"/>
        <w:numPr>
          <w:ilvl w:val="0"/>
          <w:numId w:val="12"/>
        </w:numPr>
        <w:rPr>
          <w:rFonts w:cs="Arial"/>
          <w:b/>
          <w:bCs/>
          <w:sz w:val="22"/>
        </w:rPr>
      </w:pPr>
      <w:r w:rsidRPr="00A04F4A">
        <w:rPr>
          <w:rFonts w:cs="Arial"/>
          <w:b/>
          <w:bCs/>
          <w:sz w:val="22"/>
        </w:rPr>
        <w:t>Qui finance la formation professionnelle continue et comment ?</w:t>
      </w:r>
    </w:p>
    <w:p w14:paraId="21CFB43A" w14:textId="1DE1719D" w:rsidR="00B53D5D" w:rsidRPr="00A04F4A" w:rsidRDefault="00B53D5D" w:rsidP="00B53D5D">
      <w:pPr>
        <w:rPr>
          <w:rFonts w:cs="Arial"/>
          <w:sz w:val="22"/>
          <w:szCs w:val="22"/>
        </w:rPr>
      </w:pPr>
    </w:p>
    <w:p w14:paraId="6CD06135" w14:textId="112E31E8" w:rsidR="00B53D5D" w:rsidRPr="00A04F4A" w:rsidRDefault="00B53D5D" w:rsidP="00B53D5D">
      <w:pPr>
        <w:rPr>
          <w:rFonts w:cs="Arial"/>
          <w:sz w:val="22"/>
          <w:szCs w:val="22"/>
        </w:rPr>
      </w:pPr>
    </w:p>
    <w:p w14:paraId="343D4A4D" w14:textId="2E584E94" w:rsidR="00B53D5D" w:rsidRPr="00A04F4A" w:rsidRDefault="00B53D5D" w:rsidP="00B53D5D">
      <w:pPr>
        <w:rPr>
          <w:rFonts w:cs="Arial"/>
          <w:sz w:val="22"/>
          <w:szCs w:val="22"/>
        </w:rPr>
      </w:pPr>
    </w:p>
    <w:p w14:paraId="0CCB5F1B" w14:textId="77777777" w:rsidR="00B53D5D" w:rsidRPr="00A04F4A" w:rsidRDefault="00B53D5D" w:rsidP="00B53D5D">
      <w:pPr>
        <w:rPr>
          <w:rFonts w:cs="Arial"/>
          <w:sz w:val="22"/>
          <w:szCs w:val="22"/>
        </w:rPr>
      </w:pPr>
    </w:p>
    <w:p w14:paraId="65A2BBAA" w14:textId="710C5264" w:rsidR="00B53D5D" w:rsidRPr="00A04F4A" w:rsidRDefault="00B53D5D" w:rsidP="00B53D5D">
      <w:pPr>
        <w:pStyle w:val="Paragraphedeliste"/>
        <w:numPr>
          <w:ilvl w:val="0"/>
          <w:numId w:val="12"/>
        </w:numPr>
        <w:rPr>
          <w:rFonts w:cs="Arial"/>
          <w:b/>
          <w:bCs/>
          <w:sz w:val="22"/>
        </w:rPr>
      </w:pPr>
      <w:r w:rsidRPr="00A04F4A">
        <w:rPr>
          <w:rFonts w:cs="Arial"/>
          <w:b/>
          <w:bCs/>
          <w:sz w:val="22"/>
        </w:rPr>
        <w:t>Quel est le taux de cotisation d’une entreprise de 15 salariés ?</w:t>
      </w:r>
    </w:p>
    <w:p w14:paraId="00C1C064" w14:textId="702257E0" w:rsidR="00B53D5D" w:rsidRPr="00A04F4A" w:rsidRDefault="00B53D5D" w:rsidP="00B53D5D">
      <w:pPr>
        <w:rPr>
          <w:rFonts w:cs="Arial"/>
          <w:sz w:val="22"/>
          <w:szCs w:val="22"/>
        </w:rPr>
      </w:pPr>
    </w:p>
    <w:p w14:paraId="70922635" w14:textId="31D0A695" w:rsidR="00B53D5D" w:rsidRPr="00A04F4A" w:rsidRDefault="00B53D5D" w:rsidP="00B53D5D">
      <w:pPr>
        <w:rPr>
          <w:rFonts w:cs="Arial"/>
          <w:sz w:val="22"/>
          <w:szCs w:val="22"/>
        </w:rPr>
      </w:pPr>
    </w:p>
    <w:p w14:paraId="2C936830" w14:textId="2E10CCE9" w:rsidR="00B53D5D" w:rsidRPr="00A04F4A" w:rsidRDefault="00B53D5D" w:rsidP="00B53D5D">
      <w:pPr>
        <w:rPr>
          <w:rFonts w:cs="Arial"/>
          <w:sz w:val="22"/>
          <w:szCs w:val="22"/>
        </w:rPr>
      </w:pPr>
    </w:p>
    <w:p w14:paraId="5591C775" w14:textId="77777777" w:rsidR="00B53D5D" w:rsidRPr="00A04F4A" w:rsidRDefault="00B53D5D" w:rsidP="00B53D5D">
      <w:pPr>
        <w:rPr>
          <w:rFonts w:cs="Arial"/>
          <w:sz w:val="22"/>
          <w:szCs w:val="22"/>
        </w:rPr>
      </w:pPr>
    </w:p>
    <w:p w14:paraId="2F06552E" w14:textId="549DB1EA" w:rsidR="00B53D5D" w:rsidRPr="00A04F4A" w:rsidRDefault="00B53D5D" w:rsidP="00B53D5D">
      <w:pPr>
        <w:pStyle w:val="Paragraphedeliste"/>
        <w:numPr>
          <w:ilvl w:val="0"/>
          <w:numId w:val="12"/>
        </w:numPr>
        <w:rPr>
          <w:rFonts w:cs="Arial"/>
          <w:b/>
          <w:bCs/>
          <w:sz w:val="22"/>
        </w:rPr>
      </w:pPr>
      <w:r w:rsidRPr="00A04F4A">
        <w:rPr>
          <w:rFonts w:cs="Arial"/>
          <w:b/>
          <w:bCs/>
          <w:sz w:val="22"/>
        </w:rPr>
        <w:t>Quels sont les organismes qui accompagnent la formation professionnelle continue ?</w:t>
      </w:r>
    </w:p>
    <w:p w14:paraId="40BF32C1" w14:textId="46D12842" w:rsidR="00B53D5D" w:rsidRPr="00A04F4A" w:rsidRDefault="00B53D5D" w:rsidP="00B53D5D">
      <w:pPr>
        <w:rPr>
          <w:rFonts w:cs="Arial"/>
          <w:sz w:val="22"/>
          <w:szCs w:val="22"/>
        </w:rPr>
      </w:pPr>
    </w:p>
    <w:p w14:paraId="610248E3" w14:textId="2FB30F4C" w:rsidR="00B53D5D" w:rsidRPr="00A04F4A" w:rsidRDefault="00B53D5D" w:rsidP="00B53D5D">
      <w:pPr>
        <w:rPr>
          <w:rFonts w:cs="Arial"/>
          <w:sz w:val="22"/>
          <w:szCs w:val="22"/>
        </w:rPr>
      </w:pPr>
    </w:p>
    <w:p w14:paraId="035EA07E" w14:textId="77777777" w:rsidR="00B53D5D" w:rsidRPr="00A04F4A" w:rsidRDefault="00B53D5D" w:rsidP="00B53D5D">
      <w:pPr>
        <w:rPr>
          <w:rFonts w:cs="Arial"/>
          <w:sz w:val="22"/>
          <w:szCs w:val="22"/>
        </w:rPr>
      </w:pPr>
    </w:p>
    <w:p w14:paraId="20FE992F" w14:textId="603FB8FE" w:rsidR="00B53D5D" w:rsidRPr="00A04F4A" w:rsidRDefault="00B53D5D" w:rsidP="00B53D5D">
      <w:pPr>
        <w:pStyle w:val="Paragraphedeliste"/>
        <w:numPr>
          <w:ilvl w:val="0"/>
          <w:numId w:val="12"/>
        </w:numPr>
        <w:rPr>
          <w:rFonts w:cs="Arial"/>
          <w:b/>
          <w:bCs/>
          <w:sz w:val="22"/>
        </w:rPr>
      </w:pPr>
      <w:r w:rsidRPr="00A04F4A">
        <w:rPr>
          <w:rFonts w:cs="Arial"/>
          <w:b/>
          <w:bCs/>
          <w:sz w:val="22"/>
        </w:rPr>
        <w:t>Quelle est la composition du conseil d’administration des OPCO ?</w:t>
      </w:r>
    </w:p>
    <w:p w14:paraId="07A8E376" w14:textId="77C13237" w:rsidR="00B53D5D" w:rsidRPr="00A04F4A" w:rsidRDefault="00B53D5D" w:rsidP="00B53D5D">
      <w:pPr>
        <w:rPr>
          <w:rFonts w:cs="Arial"/>
          <w:sz w:val="22"/>
          <w:szCs w:val="22"/>
        </w:rPr>
      </w:pPr>
    </w:p>
    <w:p w14:paraId="49B0524E" w14:textId="0C524A96" w:rsidR="00B53D5D" w:rsidRPr="00A04F4A" w:rsidRDefault="00B53D5D" w:rsidP="00B53D5D">
      <w:pPr>
        <w:rPr>
          <w:rFonts w:cs="Arial"/>
          <w:sz w:val="22"/>
          <w:szCs w:val="22"/>
        </w:rPr>
      </w:pPr>
    </w:p>
    <w:p w14:paraId="4C042493" w14:textId="55FBEB33" w:rsidR="00B53D5D" w:rsidRPr="00A04F4A" w:rsidRDefault="00B53D5D" w:rsidP="00B53D5D">
      <w:pPr>
        <w:rPr>
          <w:rFonts w:cs="Arial"/>
          <w:sz w:val="22"/>
          <w:szCs w:val="22"/>
        </w:rPr>
      </w:pPr>
    </w:p>
    <w:p w14:paraId="3C7AEE87" w14:textId="77777777" w:rsidR="00B53D5D" w:rsidRPr="00A04F4A" w:rsidRDefault="00B53D5D" w:rsidP="00B53D5D">
      <w:pPr>
        <w:rPr>
          <w:rFonts w:cs="Arial"/>
          <w:sz w:val="22"/>
          <w:szCs w:val="22"/>
        </w:rPr>
      </w:pPr>
    </w:p>
    <w:p w14:paraId="624760E3" w14:textId="77777777" w:rsidR="00B53D5D" w:rsidRPr="00A04F4A" w:rsidRDefault="00B53D5D" w:rsidP="00B53D5D">
      <w:pPr>
        <w:pStyle w:val="Paragraphedeliste"/>
        <w:numPr>
          <w:ilvl w:val="0"/>
          <w:numId w:val="12"/>
        </w:numPr>
        <w:rPr>
          <w:rFonts w:cs="Arial"/>
          <w:b/>
          <w:bCs/>
          <w:sz w:val="22"/>
        </w:rPr>
      </w:pPr>
      <w:r w:rsidRPr="00A04F4A">
        <w:rPr>
          <w:rFonts w:cs="Arial"/>
          <w:b/>
          <w:bCs/>
          <w:sz w:val="22"/>
        </w:rPr>
        <w:t>Quel est leur rôle ?</w:t>
      </w:r>
    </w:p>
    <w:p w14:paraId="36D2069B" w14:textId="77777777" w:rsidR="00B53D5D" w:rsidRPr="00B53D5D" w:rsidRDefault="00B53D5D" w:rsidP="0071404A">
      <w:pPr>
        <w:rPr>
          <w:rFonts w:cs="Arial"/>
          <w:b/>
          <w:bCs/>
          <w:sz w:val="24"/>
        </w:rPr>
      </w:pPr>
    </w:p>
    <w:sectPr w:rsidR="00B53D5D" w:rsidRPr="00B53D5D" w:rsidSect="0071404A">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153D"/>
    <w:multiLevelType w:val="multilevel"/>
    <w:tmpl w:val="959E65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D227DF2"/>
    <w:multiLevelType w:val="multilevel"/>
    <w:tmpl w:val="FB520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84174"/>
    <w:multiLevelType w:val="multilevel"/>
    <w:tmpl w:val="413AAD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FA07867"/>
    <w:multiLevelType w:val="multilevel"/>
    <w:tmpl w:val="9358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E537D"/>
    <w:multiLevelType w:val="hybridMultilevel"/>
    <w:tmpl w:val="4262352C"/>
    <w:lvl w:ilvl="0" w:tplc="10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3C82A7F"/>
    <w:multiLevelType w:val="hybridMultilevel"/>
    <w:tmpl w:val="1ABE6A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5E94D90"/>
    <w:multiLevelType w:val="multilevel"/>
    <w:tmpl w:val="0AC202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0D76FB7"/>
    <w:multiLevelType w:val="hybridMultilevel"/>
    <w:tmpl w:val="12163582"/>
    <w:lvl w:ilvl="0" w:tplc="E39201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676A36"/>
    <w:multiLevelType w:val="multilevel"/>
    <w:tmpl w:val="B99E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BB09A2"/>
    <w:multiLevelType w:val="hybridMultilevel"/>
    <w:tmpl w:val="76AAE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9A795C"/>
    <w:multiLevelType w:val="hybridMultilevel"/>
    <w:tmpl w:val="137A874C"/>
    <w:lvl w:ilvl="0" w:tplc="E39201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E37E56"/>
    <w:multiLevelType w:val="hybridMultilevel"/>
    <w:tmpl w:val="06F2D836"/>
    <w:lvl w:ilvl="0" w:tplc="10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737628450">
    <w:abstractNumId w:val="5"/>
  </w:num>
  <w:num w:numId="2" w16cid:durableId="23944800">
    <w:abstractNumId w:val="9"/>
  </w:num>
  <w:num w:numId="3" w16cid:durableId="1828857463">
    <w:abstractNumId w:val="8"/>
  </w:num>
  <w:num w:numId="4" w16cid:durableId="1890261460">
    <w:abstractNumId w:val="3"/>
  </w:num>
  <w:num w:numId="5" w16cid:durableId="138304104">
    <w:abstractNumId w:val="1"/>
  </w:num>
  <w:num w:numId="6" w16cid:durableId="2060395734">
    <w:abstractNumId w:val="6"/>
  </w:num>
  <w:num w:numId="7" w16cid:durableId="856650411">
    <w:abstractNumId w:val="11"/>
  </w:num>
  <w:num w:numId="8" w16cid:durableId="878518507">
    <w:abstractNumId w:val="4"/>
  </w:num>
  <w:num w:numId="9" w16cid:durableId="227349255">
    <w:abstractNumId w:val="10"/>
  </w:num>
  <w:num w:numId="10" w16cid:durableId="1968854619">
    <w:abstractNumId w:val="7"/>
  </w:num>
  <w:num w:numId="11" w16cid:durableId="1005746468">
    <w:abstractNumId w:val="2"/>
  </w:num>
  <w:num w:numId="12" w16cid:durableId="1938251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3DD"/>
    <w:rsid w:val="00083E06"/>
    <w:rsid w:val="002543DD"/>
    <w:rsid w:val="003C509C"/>
    <w:rsid w:val="00521791"/>
    <w:rsid w:val="00616A43"/>
    <w:rsid w:val="0071404A"/>
    <w:rsid w:val="008375EA"/>
    <w:rsid w:val="008B7A8E"/>
    <w:rsid w:val="00950FEA"/>
    <w:rsid w:val="00A04F4A"/>
    <w:rsid w:val="00A64125"/>
    <w:rsid w:val="00AD239C"/>
    <w:rsid w:val="00B53D5D"/>
    <w:rsid w:val="00C818B2"/>
    <w:rsid w:val="00CA2216"/>
    <w:rsid w:val="00DE2104"/>
    <w:rsid w:val="00EA78F4"/>
    <w:rsid w:val="00EE6A57"/>
    <w:rsid w:val="00FA55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21FE"/>
  <w15:chartTrackingRefBased/>
  <w15:docId w15:val="{59AF7F5C-2FA3-48AC-9834-0E8D5474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DD"/>
    <w:pPr>
      <w:spacing w:after="0" w:line="240" w:lineRule="auto"/>
      <w:jc w:val="both"/>
    </w:pPr>
    <w:rPr>
      <w:rFonts w:ascii="Arial" w:eastAsia="Times New Roman" w:hAnsi="Arial" w:cs="Times New Roman"/>
      <w:sz w:val="20"/>
      <w:szCs w:val="24"/>
      <w:lang w:eastAsia="fr-FR"/>
    </w:rPr>
  </w:style>
  <w:style w:type="paragraph" w:styleId="Titre2">
    <w:name w:val="heading 2"/>
    <w:basedOn w:val="Normal"/>
    <w:next w:val="Normal"/>
    <w:link w:val="Titre2Car"/>
    <w:uiPriority w:val="9"/>
    <w:qFormat/>
    <w:rsid w:val="002543DD"/>
    <w:pPr>
      <w:keepLines/>
      <w:widowControl w:val="0"/>
      <w:overflowPunct w:val="0"/>
      <w:autoSpaceDE w:val="0"/>
      <w:autoSpaceDN w:val="0"/>
      <w:adjustRightInd w:val="0"/>
      <w:spacing w:before="280" w:after="200" w:line="300" w:lineRule="atLeast"/>
      <w:textAlignment w:val="baseline"/>
      <w:outlineLvl w:val="1"/>
    </w:pPr>
    <w:rPr>
      <w:b/>
      <w:sz w:val="28"/>
      <w:szCs w:val="20"/>
    </w:rPr>
  </w:style>
  <w:style w:type="paragraph" w:styleId="Titre3">
    <w:name w:val="heading 3"/>
    <w:basedOn w:val="Normal"/>
    <w:link w:val="Titre3Car"/>
    <w:uiPriority w:val="9"/>
    <w:qFormat/>
    <w:rsid w:val="002543DD"/>
    <w:pPr>
      <w:spacing w:before="100" w:beforeAutospacing="1" w:after="100" w:afterAutospacing="1"/>
      <w:outlineLvl w:val="2"/>
    </w:pPr>
    <w:rPr>
      <w:rFonts w:eastAsia="Arial Unicode MS" w:cs="Arial"/>
      <w:b/>
      <w:bCs/>
      <w:color w:val="000000" w:themeColor="text1"/>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43DD"/>
    <w:rPr>
      <w:rFonts w:ascii="Arial" w:eastAsia="Times New Roman" w:hAnsi="Arial" w:cs="Times New Roman"/>
      <w:b/>
      <w:sz w:val="28"/>
      <w:szCs w:val="20"/>
      <w:lang w:eastAsia="fr-FR"/>
    </w:rPr>
  </w:style>
  <w:style w:type="character" w:customStyle="1" w:styleId="Titre3Car">
    <w:name w:val="Titre 3 Car"/>
    <w:basedOn w:val="Policepardfaut"/>
    <w:link w:val="Titre3"/>
    <w:uiPriority w:val="9"/>
    <w:rsid w:val="002543DD"/>
    <w:rPr>
      <w:rFonts w:ascii="Arial" w:eastAsia="Arial Unicode MS" w:hAnsi="Arial" w:cs="Arial"/>
      <w:b/>
      <w:bCs/>
      <w:color w:val="000000" w:themeColor="text1"/>
      <w:sz w:val="24"/>
      <w:szCs w:val="20"/>
      <w:lang w:eastAsia="fr-FR"/>
    </w:rPr>
  </w:style>
  <w:style w:type="character" w:styleId="Lienhypertexte">
    <w:name w:val="Hyperlink"/>
    <w:uiPriority w:val="99"/>
    <w:rsid w:val="002543DD"/>
    <w:rPr>
      <w:strike w:val="0"/>
      <w:dstrike w:val="0"/>
      <w:color w:val="333333"/>
      <w:u w:val="none"/>
      <w:effect w:val="none"/>
    </w:rPr>
  </w:style>
  <w:style w:type="paragraph" w:styleId="Paragraphedeliste">
    <w:name w:val="List Paragraph"/>
    <w:basedOn w:val="Normal"/>
    <w:uiPriority w:val="34"/>
    <w:qFormat/>
    <w:rsid w:val="002543DD"/>
    <w:pPr>
      <w:spacing w:before="120"/>
      <w:ind w:left="720"/>
      <w:contextualSpacing/>
    </w:pPr>
    <w:rPr>
      <w:rFonts w:eastAsia="Calibri"/>
      <w:szCs w:val="22"/>
      <w:lang w:eastAsia="en-US"/>
    </w:rPr>
  </w:style>
  <w:style w:type="table" w:styleId="Grilledutableau">
    <w:name w:val="Table Grid"/>
    <w:basedOn w:val="TableauNormal"/>
    <w:uiPriority w:val="59"/>
    <w:rsid w:val="00254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tro">
    <w:name w:val="intro"/>
    <w:basedOn w:val="Normal"/>
    <w:rsid w:val="002543DD"/>
    <w:pPr>
      <w:spacing w:after="300" w:line="336" w:lineRule="atLeast"/>
      <w:ind w:left="225"/>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ongecif-idf.fr/vous-etes-salarie/construisez-votre-projet-professionnel/le-finance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554</Words>
  <Characters>3047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16</cp:revision>
  <dcterms:created xsi:type="dcterms:W3CDTF">2013-10-14T21:35:00Z</dcterms:created>
  <dcterms:modified xsi:type="dcterms:W3CDTF">2024-11-13T23:21:00Z</dcterms:modified>
</cp:coreProperties>
</file>