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31" w:type="dxa"/>
        <w:shd w:val="clear" w:color="auto" w:fill="00B050"/>
        <w:tblLook w:val="04A0" w:firstRow="1" w:lastRow="0" w:firstColumn="1" w:lastColumn="0" w:noHBand="0" w:noVBand="1"/>
      </w:tblPr>
      <w:tblGrid>
        <w:gridCol w:w="1234"/>
        <w:gridCol w:w="7947"/>
        <w:gridCol w:w="850"/>
      </w:tblGrid>
      <w:tr w:rsidR="005E0195" w:rsidRPr="00EF54C1" w14:paraId="787A59C6" w14:textId="77777777" w:rsidTr="00DC515E">
        <w:trPr>
          <w:trHeight w:val="386"/>
        </w:trPr>
        <w:tc>
          <w:tcPr>
            <w:tcW w:w="10031" w:type="dxa"/>
            <w:gridSpan w:val="3"/>
            <w:shd w:val="clear" w:color="auto" w:fill="FFFF00"/>
          </w:tcPr>
          <w:p w14:paraId="137FF5CC" w14:textId="77777777" w:rsidR="005E0195" w:rsidRDefault="005E0195" w:rsidP="00DC515E">
            <w:pPr>
              <w:pStyle w:val="Titre2"/>
              <w:spacing w:before="120" w:after="0"/>
              <w:jc w:val="center"/>
              <w:rPr>
                <w:rFonts w:ascii="Arial" w:hAnsi="Arial" w:cs="Arial"/>
                <w:sz w:val="28"/>
                <w:szCs w:val="32"/>
              </w:rPr>
            </w:pPr>
            <w:r w:rsidRPr="00EE1614">
              <w:rPr>
                <w:rFonts w:ascii="Arial" w:hAnsi="Arial" w:cs="Arial"/>
                <w:sz w:val="28"/>
                <w:szCs w:val="32"/>
              </w:rPr>
              <w:t xml:space="preserve">Réflexion </w:t>
            </w:r>
            <w:r>
              <w:rPr>
                <w:rFonts w:ascii="Arial" w:hAnsi="Arial" w:cs="Arial"/>
                <w:sz w:val="28"/>
                <w:szCs w:val="32"/>
              </w:rPr>
              <w:t>7</w:t>
            </w:r>
            <w:r w:rsidRPr="00EE1614">
              <w:rPr>
                <w:rFonts w:ascii="Arial" w:hAnsi="Arial" w:cs="Arial"/>
                <w:sz w:val="28"/>
                <w:szCs w:val="32"/>
              </w:rPr>
              <w:t xml:space="preserve"> – </w:t>
            </w:r>
            <w:r>
              <w:rPr>
                <w:rFonts w:ascii="Arial" w:hAnsi="Arial" w:cs="Arial"/>
                <w:sz w:val="28"/>
                <w:szCs w:val="32"/>
              </w:rPr>
              <w:t>Calculer une saisie-arrêt sur salaire</w:t>
            </w:r>
          </w:p>
          <w:p w14:paraId="2F0546D0" w14:textId="77777777" w:rsidR="005E0195" w:rsidRPr="004918AA" w:rsidRDefault="005E0195" w:rsidP="00DC515E">
            <w:pPr>
              <w:spacing w:after="120"/>
              <w:jc w:val="center"/>
            </w:pPr>
            <w:r w:rsidRPr="004918AA">
              <w:rPr>
                <w:sz w:val="24"/>
                <w:szCs w:val="32"/>
              </w:rPr>
              <w:t>(Approfondissement hors GPME)</w:t>
            </w:r>
          </w:p>
        </w:tc>
      </w:tr>
      <w:tr w:rsidR="005E0195" w:rsidRPr="00BC1E5E" w14:paraId="2E3B3E98" w14:textId="77777777" w:rsidTr="00DC515E">
        <w:trPr>
          <w:trHeight w:val="504"/>
        </w:trPr>
        <w:tc>
          <w:tcPr>
            <w:tcW w:w="1234" w:type="dxa"/>
            <w:shd w:val="clear" w:color="auto" w:fill="FFFF00"/>
            <w:vAlign w:val="center"/>
          </w:tcPr>
          <w:p w14:paraId="08D2F453" w14:textId="77777777" w:rsidR="005E0195" w:rsidRPr="00BC1E5E" w:rsidRDefault="005E0195" w:rsidP="00DC515E">
            <w:pPr>
              <w:rPr>
                <w:rFonts w:cs="Arial"/>
              </w:rPr>
            </w:pPr>
            <w:r w:rsidRPr="00BC1E5E">
              <w:rPr>
                <w:rFonts w:cs="Arial"/>
                <w:b/>
              </w:rPr>
              <w:t>Durée</w:t>
            </w:r>
            <w:r w:rsidRPr="00BC1E5E">
              <w:rPr>
                <w:rFonts w:cs="Arial"/>
              </w:rPr>
              <w:t xml:space="preserve"> : </w:t>
            </w:r>
            <w:r>
              <w:rPr>
                <w:rFonts w:cs="Arial"/>
              </w:rPr>
              <w:t>2</w:t>
            </w:r>
            <w:r w:rsidRPr="00BC1E5E">
              <w:rPr>
                <w:rFonts w:cs="Arial"/>
              </w:rPr>
              <w:t>0</w:t>
            </w:r>
            <w:r>
              <w:rPr>
                <w:rFonts w:cs="Arial"/>
              </w:rPr>
              <w:t>’</w:t>
            </w:r>
          </w:p>
        </w:tc>
        <w:tc>
          <w:tcPr>
            <w:tcW w:w="7947" w:type="dxa"/>
            <w:shd w:val="clear" w:color="auto" w:fill="FFFF00"/>
            <w:vAlign w:val="center"/>
          </w:tcPr>
          <w:p w14:paraId="1FF3BD24" w14:textId="77777777" w:rsidR="005E0195" w:rsidRPr="00BC1E5E" w:rsidRDefault="005E0195" w:rsidP="00DC515E">
            <w:pPr>
              <w:jc w:val="center"/>
              <w:rPr>
                <w:rFonts w:cs="Arial"/>
              </w:rPr>
            </w:pPr>
            <w:r>
              <w:rPr>
                <w:noProof/>
              </w:rPr>
              <w:drawing>
                <wp:inline distT="0" distB="0" distL="0" distR="0" wp14:anchorId="6DBF260C" wp14:editId="59238A3A">
                  <wp:extent cx="324000" cy="324000"/>
                  <wp:effectExtent l="0" t="0" r="0" b="0"/>
                  <wp:docPr id="220613216" name="Graphique 22061321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Graphique 51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 xml:space="preserve">ou </w:t>
            </w:r>
            <w:r>
              <w:rPr>
                <w:noProof/>
              </w:rPr>
              <w:drawing>
                <wp:inline distT="0" distB="0" distL="0" distR="0" wp14:anchorId="437AB441" wp14:editId="5561EBA4">
                  <wp:extent cx="360000" cy="360000"/>
                  <wp:effectExtent l="0" t="0" r="0" b="2540"/>
                  <wp:docPr id="1653135096" name="Graphique 165313509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Graphique 51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50" w:type="dxa"/>
            <w:shd w:val="clear" w:color="auto" w:fill="FFFF00"/>
            <w:vAlign w:val="center"/>
          </w:tcPr>
          <w:p w14:paraId="64ABCF44" w14:textId="77777777" w:rsidR="005E0195" w:rsidRPr="00BC1E5E" w:rsidRDefault="005E0195" w:rsidP="00DC515E">
            <w:pPr>
              <w:rPr>
                <w:rFonts w:cs="Arial"/>
              </w:rPr>
            </w:pPr>
            <w:r>
              <w:rPr>
                <w:rFonts w:cs="Arial"/>
              </w:rPr>
              <w:t>Source</w:t>
            </w:r>
          </w:p>
        </w:tc>
      </w:tr>
    </w:tbl>
    <w:p w14:paraId="31DD0D5C" w14:textId="77777777" w:rsidR="005E0195" w:rsidRPr="00853857" w:rsidRDefault="005E0195" w:rsidP="005E0195">
      <w:pPr>
        <w:spacing w:before="240" w:after="120"/>
        <w:rPr>
          <w:b/>
          <w:sz w:val="24"/>
          <w:szCs w:val="32"/>
        </w:rPr>
      </w:pPr>
      <w:r w:rsidRPr="00853857">
        <w:rPr>
          <w:b/>
          <w:sz w:val="24"/>
          <w:szCs w:val="32"/>
        </w:rPr>
        <w:t>Travail à faire</w:t>
      </w:r>
    </w:p>
    <w:p w14:paraId="0856487C" w14:textId="77777777" w:rsidR="005E0195" w:rsidRPr="003D3479" w:rsidRDefault="005E0195" w:rsidP="005E0195">
      <w:pPr>
        <w:spacing w:before="60" w:after="60"/>
        <w:rPr>
          <w:bCs/>
        </w:rPr>
      </w:pPr>
      <w:r w:rsidRPr="003D3479">
        <w:rPr>
          <w:rFonts w:cs="Arial"/>
          <w:bCs/>
        </w:rPr>
        <w:t xml:space="preserve">Après avoir analysé le </w:t>
      </w:r>
      <w:r w:rsidRPr="003D3479">
        <w:rPr>
          <w:rFonts w:cs="Arial"/>
          <w:b/>
        </w:rPr>
        <w:t>document</w:t>
      </w:r>
      <w:r w:rsidRPr="003D3479">
        <w:rPr>
          <w:rFonts w:cs="Arial"/>
          <w:bCs/>
        </w:rPr>
        <w:t>, répondez aux questions suivantes :</w:t>
      </w:r>
    </w:p>
    <w:p w14:paraId="71276A27" w14:textId="77777777" w:rsidR="005E0195" w:rsidRDefault="005E0195" w:rsidP="005E0195">
      <w:pPr>
        <w:pStyle w:val="Paragraphedeliste"/>
        <w:numPr>
          <w:ilvl w:val="0"/>
          <w:numId w:val="5"/>
        </w:numPr>
        <w:rPr>
          <w:bCs/>
        </w:rPr>
      </w:pPr>
      <w:r>
        <w:rPr>
          <w:bCs/>
        </w:rPr>
        <w:t>L’employeur peut-il mettre en œuvre seul une saisie-arrêt ?</w:t>
      </w:r>
    </w:p>
    <w:p w14:paraId="10204159" w14:textId="77777777" w:rsidR="005E0195" w:rsidRDefault="005E0195" w:rsidP="005E0195">
      <w:pPr>
        <w:pStyle w:val="Paragraphedeliste"/>
        <w:numPr>
          <w:ilvl w:val="0"/>
          <w:numId w:val="5"/>
        </w:numPr>
        <w:rPr>
          <w:bCs/>
        </w:rPr>
      </w:pPr>
      <w:r>
        <w:rPr>
          <w:bCs/>
        </w:rPr>
        <w:t>Qui prononce la saisie-arrêt ?</w:t>
      </w:r>
    </w:p>
    <w:p w14:paraId="4077AB74" w14:textId="77777777" w:rsidR="005E0195" w:rsidRDefault="005E0195" w:rsidP="005E0195">
      <w:pPr>
        <w:pStyle w:val="Paragraphedeliste"/>
        <w:numPr>
          <w:ilvl w:val="0"/>
          <w:numId w:val="5"/>
        </w:numPr>
        <w:rPr>
          <w:bCs/>
        </w:rPr>
      </w:pPr>
      <w:r>
        <w:rPr>
          <w:bCs/>
        </w:rPr>
        <w:t>Comment est calculé le montant de la saisie-arrêt ?</w:t>
      </w:r>
    </w:p>
    <w:p w14:paraId="49F95CDA" w14:textId="4B554CE1" w:rsidR="005E0195" w:rsidRDefault="005E0195" w:rsidP="005E0195">
      <w:pPr>
        <w:pStyle w:val="Paragraphedeliste"/>
        <w:numPr>
          <w:ilvl w:val="0"/>
          <w:numId w:val="5"/>
        </w:numPr>
        <w:rPr>
          <w:bCs/>
        </w:rPr>
      </w:pPr>
      <w:r>
        <w:rPr>
          <w:bCs/>
        </w:rPr>
        <w:t>Qu’est-ce que la portion insaisissable d’un salaire et pour quelle raison est-elle insaisissable ?</w:t>
      </w:r>
    </w:p>
    <w:p w14:paraId="7E6BFD9E" w14:textId="77777777" w:rsidR="005E0195" w:rsidRPr="0022626C" w:rsidRDefault="005E0195" w:rsidP="005E0195">
      <w:pPr>
        <w:pStyle w:val="Paragraphedeliste"/>
        <w:numPr>
          <w:ilvl w:val="0"/>
          <w:numId w:val="5"/>
        </w:numPr>
        <w:rPr>
          <w:bCs/>
        </w:rPr>
      </w:pPr>
      <w:r>
        <w:rPr>
          <w:bCs/>
        </w:rPr>
        <w:t>Dans quel cas la saisie n’exige pas une décision de justice</w:t>
      </w:r>
      <w:r w:rsidRPr="0022626C">
        <w:rPr>
          <w:bCs/>
        </w:rPr>
        <w:t> ?</w:t>
      </w:r>
    </w:p>
    <w:p w14:paraId="0FEDA238" w14:textId="77777777" w:rsidR="005E0195" w:rsidRDefault="005E0195" w:rsidP="005E0195">
      <w:pPr>
        <w:rPr>
          <w:rFonts w:cs="Arial"/>
          <w:b/>
        </w:rPr>
      </w:pPr>
    </w:p>
    <w:p w14:paraId="4181C0AB" w14:textId="77777777" w:rsidR="00A644E0" w:rsidRPr="00D37844" w:rsidRDefault="00A644E0" w:rsidP="00A644E0">
      <w:pPr>
        <w:spacing w:before="240" w:after="240"/>
        <w:jc w:val="left"/>
        <w:outlineLvl w:val="0"/>
        <w:rPr>
          <w:rFonts w:cs="Arial"/>
          <w:b/>
          <w:bCs/>
          <w:color w:val="333333"/>
          <w:sz w:val="24"/>
          <w:szCs w:val="18"/>
        </w:rPr>
      </w:pPr>
      <w:r w:rsidRPr="00D37844">
        <w:rPr>
          <w:rFonts w:cs="Arial"/>
          <w:b/>
          <w:bCs/>
          <w:color w:val="FFFFFF" w:themeColor="background1"/>
          <w:sz w:val="24"/>
          <w:szCs w:val="18"/>
          <w:highlight w:val="red"/>
        </w:rPr>
        <w:t xml:space="preserve">Doc. </w:t>
      </w:r>
      <w:r w:rsidRPr="00D37844">
        <w:rPr>
          <w:rFonts w:cs="Arial"/>
          <w:b/>
          <w:bCs/>
          <w:color w:val="FFFFFF" w:themeColor="background1"/>
          <w:sz w:val="24"/>
          <w:szCs w:val="18"/>
        </w:rPr>
        <w:t xml:space="preserve"> </w:t>
      </w:r>
      <w:r>
        <w:rPr>
          <w:rFonts w:cs="Arial"/>
          <w:b/>
          <w:bCs/>
          <w:color w:val="333333"/>
          <w:sz w:val="24"/>
          <w:szCs w:val="18"/>
        </w:rPr>
        <w:t>La saisie arrêt sur salaire ou saisie sur rémunération</w:t>
      </w:r>
    </w:p>
    <w:p w14:paraId="29C939E3" w14:textId="77777777" w:rsidR="00A644E0" w:rsidRPr="003D3479" w:rsidRDefault="00A644E0" w:rsidP="00A644E0">
      <w:pPr>
        <w:spacing w:before="120"/>
        <w:rPr>
          <w:rFonts w:cs="Arial"/>
        </w:rPr>
      </w:pPr>
      <w:r>
        <w:rPr>
          <w:rFonts w:cs="Arial"/>
        </w:rPr>
        <w:t>L</w:t>
      </w:r>
      <w:r w:rsidRPr="003D3479">
        <w:rPr>
          <w:rFonts w:cs="Arial"/>
        </w:rPr>
        <w:t>a saisie</w:t>
      </w:r>
      <w:r>
        <w:rPr>
          <w:rFonts w:cs="Arial"/>
        </w:rPr>
        <w:t>-</w:t>
      </w:r>
      <w:r w:rsidRPr="003D3479">
        <w:rPr>
          <w:rFonts w:cs="Arial"/>
        </w:rPr>
        <w:t>arrêt sur salaire permet de récupérer des créances impayées directement sur les revenus d'une personne, tout en respectant des seuils pour garantir un minimum de subsistance. Les montants sont calculés selon un barème légal et peuvent varier en fonction du revenu et de la situation familiale du débiteur.</w:t>
      </w:r>
    </w:p>
    <w:p w14:paraId="27BE842C" w14:textId="77777777" w:rsidR="00A644E0" w:rsidRDefault="00A644E0" w:rsidP="00A644E0">
      <w:pPr>
        <w:spacing w:before="120"/>
        <w:rPr>
          <w:rFonts w:cs="Arial"/>
        </w:rPr>
      </w:pPr>
      <w:r>
        <w:rPr>
          <w:rFonts w:cs="Arial"/>
        </w:rPr>
        <w:t>C’</w:t>
      </w:r>
      <w:r w:rsidRPr="003D3479">
        <w:rPr>
          <w:rFonts w:cs="Arial"/>
        </w:rPr>
        <w:t>est une procédure légale</w:t>
      </w:r>
      <w:r>
        <w:rPr>
          <w:rFonts w:cs="Arial"/>
        </w:rPr>
        <w:t xml:space="preserve"> qui</w:t>
      </w:r>
      <w:r w:rsidRPr="003D3479">
        <w:rPr>
          <w:rFonts w:cs="Arial"/>
        </w:rPr>
        <w:t xml:space="preserve"> se fait sous l'autorité d'un jugement de tribunal ou d'une décision administrative, lorsque le débiteur n'a pas honoré ses dettes.</w:t>
      </w:r>
    </w:p>
    <w:p w14:paraId="52E14321" w14:textId="77777777" w:rsidR="00A644E0" w:rsidRPr="003D3479" w:rsidRDefault="00A644E0" w:rsidP="00A644E0">
      <w:pPr>
        <w:spacing w:before="120"/>
        <w:rPr>
          <w:rFonts w:cs="Arial"/>
          <w:b/>
          <w:bCs/>
          <w:sz w:val="22"/>
          <w:szCs w:val="28"/>
        </w:rPr>
      </w:pPr>
      <w:r w:rsidRPr="003D3479">
        <w:rPr>
          <w:rFonts w:cs="Arial"/>
          <w:b/>
          <w:bCs/>
          <w:sz w:val="22"/>
          <w:szCs w:val="28"/>
        </w:rPr>
        <w:t>Modalités de mise en œuvre</w:t>
      </w:r>
    </w:p>
    <w:p w14:paraId="26D93D34" w14:textId="77777777" w:rsidR="00A644E0" w:rsidRDefault="00A644E0" w:rsidP="00A644E0">
      <w:pPr>
        <w:numPr>
          <w:ilvl w:val="0"/>
          <w:numId w:val="3"/>
        </w:numPr>
        <w:tabs>
          <w:tab w:val="clear" w:pos="360"/>
          <w:tab w:val="num" w:pos="720"/>
        </w:tabs>
        <w:spacing w:before="120"/>
        <w:ind w:left="357" w:hanging="357"/>
        <w:rPr>
          <w:rFonts w:cs="Arial"/>
        </w:rPr>
      </w:pPr>
      <w:r w:rsidRPr="00AE3027">
        <w:rPr>
          <w:rFonts w:cs="Arial"/>
        </w:rPr>
        <w:t>Le créancier doit d'abord obtenir une décision judiciaire ou un titre exécutoire, ce qui peut être le cas d'une dette impayée (crédit, pension alimentaire, amende, etc.). Le juge compétent est le</w:t>
      </w:r>
      <w:r w:rsidRPr="00AE3027">
        <w:rPr>
          <w:rFonts w:cs="Arial"/>
          <w:i/>
          <w:iCs/>
        </w:rPr>
        <w:t> </w:t>
      </w:r>
      <w:r w:rsidRPr="00AE3027">
        <w:rPr>
          <w:rFonts w:cs="Arial"/>
        </w:rPr>
        <w:t>juge de l'exécution du tribunal judiciaire dont dépend le domicile du débiteur. Pour saisir le juge, le créa</w:t>
      </w:r>
      <w:r>
        <w:rPr>
          <w:rFonts w:cs="Arial"/>
        </w:rPr>
        <w:t>n</w:t>
      </w:r>
      <w:r w:rsidRPr="00AE3027">
        <w:rPr>
          <w:rFonts w:cs="Arial"/>
        </w:rPr>
        <w:t xml:space="preserve">cier doit déposer ou envoyer </w:t>
      </w:r>
      <w:r>
        <w:rPr>
          <w:rFonts w:cs="Arial"/>
        </w:rPr>
        <w:t>un</w:t>
      </w:r>
      <w:r w:rsidRPr="00AE3027">
        <w:rPr>
          <w:rFonts w:cs="Arial"/>
        </w:rPr>
        <w:t xml:space="preserve"> courrier au secrétariat-greffe du tribunal une requête (un é</w:t>
      </w:r>
      <w:r w:rsidRPr="00AE3027">
        <w:rPr>
          <w:rFonts w:eastAsiaTheme="majorEastAsia" w:cs="Arial"/>
        </w:rPr>
        <w:t>crit formalisé</w:t>
      </w:r>
      <w:r w:rsidRPr="00AE3027">
        <w:rPr>
          <w:rFonts w:cs="Arial"/>
        </w:rPr>
        <w:t>)</w:t>
      </w:r>
      <w:r w:rsidRPr="00AE3027">
        <w:rPr>
          <w:rFonts w:eastAsiaTheme="majorEastAsia" w:cs="Arial"/>
        </w:rPr>
        <w:t xml:space="preserve"> permettant de saisir </w:t>
      </w:r>
      <w:r w:rsidRPr="00AE3027">
        <w:rPr>
          <w:rFonts w:cs="Arial"/>
        </w:rPr>
        <w:t>le</w:t>
      </w:r>
      <w:r w:rsidRPr="00AE3027">
        <w:rPr>
          <w:rFonts w:eastAsiaTheme="majorEastAsia" w:cs="Arial"/>
        </w:rPr>
        <w:t xml:space="preserve"> tribunal</w:t>
      </w:r>
      <w:r w:rsidRPr="00AE3027">
        <w:rPr>
          <w:rFonts w:cs="Arial"/>
        </w:rPr>
        <w:t xml:space="preserve">, accompagnée d'une copie du titre exécutoire. </w:t>
      </w:r>
      <w:r w:rsidRPr="000E0E48">
        <w:rPr>
          <w:rFonts w:cs="Arial"/>
        </w:rPr>
        <w:t>La requête peut être rédigée sur papier libre</w:t>
      </w:r>
      <w:r w:rsidRPr="00AE3027">
        <w:rPr>
          <w:rFonts w:cs="Arial"/>
        </w:rPr>
        <w:t xml:space="preserve">. Dans certains cas, comme les pensions alimentaires, la saisie peut être ordonnée sans jugement. </w:t>
      </w:r>
    </w:p>
    <w:p w14:paraId="770DC329" w14:textId="77777777" w:rsidR="00A644E0" w:rsidRPr="00933B73" w:rsidRDefault="00A644E0" w:rsidP="00A644E0">
      <w:pPr>
        <w:numPr>
          <w:ilvl w:val="0"/>
          <w:numId w:val="3"/>
        </w:numPr>
        <w:tabs>
          <w:tab w:val="clear" w:pos="360"/>
          <w:tab w:val="num" w:pos="720"/>
        </w:tabs>
        <w:spacing w:before="120"/>
        <w:ind w:left="357" w:hanging="357"/>
        <w:rPr>
          <w:rFonts w:cs="Arial"/>
        </w:rPr>
      </w:pPr>
      <w:r>
        <w:t>L’audience de conciliation : Le </w:t>
      </w:r>
      <w:r w:rsidRPr="00AE3027">
        <w:rPr>
          <w:rStyle w:val="tool-tip"/>
          <w:rFonts w:eastAsiaTheme="majorEastAsia"/>
        </w:rPr>
        <w:t>créancier</w:t>
      </w:r>
      <w:r w:rsidRPr="00933B73">
        <w:rPr>
          <w:rStyle w:val="tool-tip"/>
          <w:i/>
          <w:iCs/>
        </w:rPr>
        <w:t xml:space="preserve"> </w:t>
      </w:r>
      <w:r>
        <w:t>et le </w:t>
      </w:r>
      <w:r w:rsidRPr="00AE3027">
        <w:rPr>
          <w:rStyle w:val="tool-tip"/>
          <w:rFonts w:eastAsiaTheme="majorEastAsia"/>
        </w:rPr>
        <w:t>débiteur</w:t>
      </w:r>
      <w:r w:rsidRPr="00933B73">
        <w:rPr>
          <w:rStyle w:val="fr-sr-only"/>
          <w:i/>
          <w:iCs/>
          <w:bdr w:val="none" w:sz="0" w:space="0" w:color="auto" w:frame="1"/>
        </w:rPr>
        <w:t xml:space="preserve"> </w:t>
      </w:r>
      <w:r>
        <w:t>sont convoqués au moins </w:t>
      </w:r>
      <w:r>
        <w:rPr>
          <w:rStyle w:val="lev"/>
        </w:rPr>
        <w:t>15 jours</w:t>
      </w:r>
      <w:r>
        <w:t> avant la date de l'audience de conciliation. Au cours de l’audience, le </w:t>
      </w:r>
      <w:r w:rsidRPr="00933B73">
        <w:rPr>
          <w:rStyle w:val="Accentuation"/>
          <w:i w:val="0"/>
          <w:iCs w:val="0"/>
        </w:rPr>
        <w:t xml:space="preserve">juge </w:t>
      </w:r>
      <w:r>
        <w:t>tente de mettre d'accord le créancier et le débiteur, notamment en accordant des délais de paiement ou en prévoyant un remboursement par paiements partiels. L'audience se conclut de façon différente, selon qu'un accord a ou non été trouvé entre le créancier et le débiteur. Si aucun accord n’est trouvé lors de la conciliation. Le juge prend une décision de saisie sur rémunérations</w:t>
      </w:r>
    </w:p>
    <w:p w14:paraId="660502D7" w14:textId="77777777" w:rsidR="00A644E0" w:rsidRPr="003D3479" w:rsidRDefault="00A644E0" w:rsidP="00A644E0">
      <w:pPr>
        <w:numPr>
          <w:ilvl w:val="0"/>
          <w:numId w:val="3"/>
        </w:numPr>
        <w:tabs>
          <w:tab w:val="clear" w:pos="360"/>
          <w:tab w:val="num" w:pos="720"/>
        </w:tabs>
        <w:spacing w:before="120"/>
        <w:ind w:left="357" w:hanging="357"/>
        <w:rPr>
          <w:rFonts w:cs="Arial"/>
        </w:rPr>
      </w:pPr>
      <w:r w:rsidRPr="003D3479">
        <w:rPr>
          <w:rFonts w:cs="Arial"/>
        </w:rPr>
        <w:t>Une fois la décision prise, le greffe du tribunal adresse une notification à l'employeur du débiteur. Ce dernier est ensuite tenu de retenir une partie du salaire et de la verser directement au créancier.</w:t>
      </w:r>
    </w:p>
    <w:p w14:paraId="694AD130" w14:textId="77777777" w:rsidR="00A644E0" w:rsidRPr="003D3479" w:rsidRDefault="00A644E0" w:rsidP="00A644E0">
      <w:pPr>
        <w:numPr>
          <w:ilvl w:val="0"/>
          <w:numId w:val="3"/>
        </w:numPr>
        <w:tabs>
          <w:tab w:val="clear" w:pos="360"/>
          <w:tab w:val="num" w:pos="720"/>
        </w:tabs>
        <w:spacing w:before="120"/>
        <w:ind w:left="357" w:hanging="357"/>
        <w:rPr>
          <w:rFonts w:cs="Arial"/>
        </w:rPr>
      </w:pPr>
      <w:r w:rsidRPr="003D3479">
        <w:rPr>
          <w:rFonts w:cs="Arial"/>
        </w:rPr>
        <w:t>L'employeur devient responsable de la saisie, en retenant une partie du salaire et en la versant régulièrement au créancier tant que la dette n'est pas intégralement remboursée.</w:t>
      </w:r>
    </w:p>
    <w:p w14:paraId="76480B88" w14:textId="77777777" w:rsidR="00A644E0" w:rsidRPr="003D3479" w:rsidRDefault="00A644E0" w:rsidP="00A644E0">
      <w:pPr>
        <w:spacing w:before="120" w:after="120"/>
        <w:rPr>
          <w:rFonts w:cs="Arial"/>
          <w:b/>
          <w:bCs/>
          <w:sz w:val="22"/>
          <w:szCs w:val="28"/>
        </w:rPr>
      </w:pPr>
      <w:r w:rsidRPr="003D3479">
        <w:rPr>
          <w:rFonts w:cs="Arial"/>
          <w:b/>
          <w:bCs/>
          <w:sz w:val="22"/>
          <w:szCs w:val="28"/>
        </w:rPr>
        <w:t>Modalités de calcul</w:t>
      </w:r>
    </w:p>
    <w:p w14:paraId="44EF4C3A" w14:textId="77777777" w:rsidR="00A644E0" w:rsidRPr="003D3479" w:rsidRDefault="00A644E0" w:rsidP="00A644E0">
      <w:pPr>
        <w:rPr>
          <w:rFonts w:cs="Arial"/>
        </w:rPr>
      </w:pPr>
      <w:r w:rsidRPr="003D3479">
        <w:rPr>
          <w:rFonts w:cs="Arial"/>
        </w:rPr>
        <w:t>La somme qui peut être saisie sur le salaire est plafonnée afin de protéger le débiteur et de lui garantir un minimum vital pour vivre. Ce montant varie selon le revenu net perçu et la composition du foyer (nombre de personnes à charge).</w:t>
      </w:r>
    </w:p>
    <w:p w14:paraId="2B4C3599" w14:textId="77777777" w:rsidR="00A644E0" w:rsidRPr="003D3479" w:rsidRDefault="00A644E0" w:rsidP="00A644E0">
      <w:pPr>
        <w:numPr>
          <w:ilvl w:val="0"/>
          <w:numId w:val="4"/>
        </w:numPr>
        <w:tabs>
          <w:tab w:val="num" w:pos="720"/>
        </w:tabs>
        <w:spacing w:before="120"/>
        <w:ind w:left="357" w:hanging="357"/>
        <w:rPr>
          <w:rFonts w:cs="Arial"/>
        </w:rPr>
      </w:pPr>
      <w:r w:rsidRPr="003D3479">
        <w:rPr>
          <w:rFonts w:cs="Arial"/>
          <w:b/>
          <w:bCs/>
        </w:rPr>
        <w:t>Barème légal</w:t>
      </w:r>
      <w:r w:rsidRPr="003D3479">
        <w:rPr>
          <w:rFonts w:cs="Arial"/>
        </w:rPr>
        <w:t xml:space="preserve"> : Le montant saisissable est déterminé par un barème fixé par la loi, qui varie selon le salaire net perçu par le débiteur. Plus le salaire est élevé, plus la proportion saisissable est importante.</w:t>
      </w:r>
    </w:p>
    <w:p w14:paraId="25B0F0F8" w14:textId="77777777" w:rsidR="00A644E0" w:rsidRPr="003D3479" w:rsidRDefault="00A644E0" w:rsidP="00A644E0">
      <w:pPr>
        <w:numPr>
          <w:ilvl w:val="0"/>
          <w:numId w:val="4"/>
        </w:numPr>
        <w:tabs>
          <w:tab w:val="num" w:pos="720"/>
        </w:tabs>
        <w:spacing w:before="120"/>
        <w:ind w:left="357" w:hanging="357"/>
        <w:rPr>
          <w:rFonts w:cs="Arial"/>
        </w:rPr>
      </w:pPr>
      <w:r w:rsidRPr="003D3479">
        <w:rPr>
          <w:rFonts w:cs="Arial"/>
          <w:b/>
          <w:bCs/>
        </w:rPr>
        <w:t>Quote-part saisissable</w:t>
      </w:r>
      <w:r w:rsidRPr="003D3479">
        <w:rPr>
          <w:rFonts w:cs="Arial"/>
        </w:rPr>
        <w:t xml:space="preserve"> : Le salaire est divisé en tranches, chacune correspondant à un pourcentage saisissable. Par exemple, pour l’année 2023, les pourcentages varient ainsi :</w:t>
      </w:r>
    </w:p>
    <w:p w14:paraId="10193163" w14:textId="77777777" w:rsidR="00A644E0" w:rsidRPr="003D3479" w:rsidRDefault="00A644E0" w:rsidP="00A644E0">
      <w:pPr>
        <w:numPr>
          <w:ilvl w:val="1"/>
          <w:numId w:val="4"/>
        </w:numPr>
        <w:tabs>
          <w:tab w:val="num" w:pos="1440"/>
        </w:tabs>
        <w:rPr>
          <w:rFonts w:cs="Arial"/>
        </w:rPr>
      </w:pPr>
      <w:r w:rsidRPr="003D3479">
        <w:rPr>
          <w:rFonts w:cs="Arial"/>
        </w:rPr>
        <w:t>Jusqu’à 397,29 € : 1/20</w:t>
      </w:r>
    </w:p>
    <w:p w14:paraId="31886DE5" w14:textId="77777777" w:rsidR="00A644E0" w:rsidRPr="003D3479" w:rsidRDefault="00A644E0" w:rsidP="00A644E0">
      <w:pPr>
        <w:numPr>
          <w:ilvl w:val="1"/>
          <w:numId w:val="4"/>
        </w:numPr>
        <w:tabs>
          <w:tab w:val="num" w:pos="1440"/>
        </w:tabs>
        <w:rPr>
          <w:rFonts w:cs="Arial"/>
        </w:rPr>
      </w:pPr>
      <w:r w:rsidRPr="003D3479">
        <w:rPr>
          <w:rFonts w:cs="Arial"/>
        </w:rPr>
        <w:t>De 397,30 € à 775,19 € : 1/10</w:t>
      </w:r>
    </w:p>
    <w:p w14:paraId="59ECB63E" w14:textId="77777777" w:rsidR="00A644E0" w:rsidRPr="003D3479" w:rsidRDefault="00A644E0" w:rsidP="00A644E0">
      <w:pPr>
        <w:numPr>
          <w:ilvl w:val="1"/>
          <w:numId w:val="4"/>
        </w:numPr>
        <w:tabs>
          <w:tab w:val="num" w:pos="1440"/>
        </w:tabs>
        <w:rPr>
          <w:rFonts w:cs="Arial"/>
        </w:rPr>
      </w:pPr>
      <w:r w:rsidRPr="003D3479">
        <w:rPr>
          <w:rFonts w:cs="Arial"/>
        </w:rPr>
        <w:t>De 775,20 € à 1 159,99 € : 1/5</w:t>
      </w:r>
    </w:p>
    <w:p w14:paraId="6918505F" w14:textId="77777777" w:rsidR="00A644E0" w:rsidRPr="003D3479" w:rsidRDefault="00A644E0" w:rsidP="00A644E0">
      <w:pPr>
        <w:numPr>
          <w:ilvl w:val="1"/>
          <w:numId w:val="4"/>
        </w:numPr>
        <w:tabs>
          <w:tab w:val="num" w:pos="1440"/>
        </w:tabs>
        <w:rPr>
          <w:rFonts w:cs="Arial"/>
        </w:rPr>
      </w:pPr>
      <w:r w:rsidRPr="003D3479">
        <w:rPr>
          <w:rFonts w:cs="Arial"/>
        </w:rPr>
        <w:t>Et ainsi de suite...</w:t>
      </w:r>
    </w:p>
    <w:p w14:paraId="64D04345" w14:textId="77777777" w:rsidR="00A644E0" w:rsidRPr="003D3479" w:rsidRDefault="00A644E0" w:rsidP="00A644E0">
      <w:pPr>
        <w:numPr>
          <w:ilvl w:val="0"/>
          <w:numId w:val="4"/>
        </w:numPr>
        <w:tabs>
          <w:tab w:val="num" w:pos="720"/>
        </w:tabs>
        <w:spacing w:before="120"/>
        <w:ind w:left="357" w:hanging="357"/>
        <w:rPr>
          <w:rFonts w:cs="Arial"/>
        </w:rPr>
      </w:pPr>
      <w:r w:rsidRPr="003D3479">
        <w:rPr>
          <w:rFonts w:cs="Arial"/>
          <w:b/>
          <w:bCs/>
        </w:rPr>
        <w:t>Portion insaisissable</w:t>
      </w:r>
      <w:r w:rsidRPr="003D3479">
        <w:rPr>
          <w:rFonts w:cs="Arial"/>
        </w:rPr>
        <w:t xml:space="preserve"> : Une partie du salaire appelée "minimum insaisissable" reste intacte et ne peut pas être saisie, quel que soit le montant de la dette. En 2023, cette partie insaisissable est équivalente au montant du RSA pour une personne seule, soit environ 598,54 € par mois.</w:t>
      </w:r>
    </w:p>
    <w:p w14:paraId="24B1AA73" w14:textId="77777777" w:rsidR="00A644E0" w:rsidRPr="003D3479" w:rsidRDefault="00A644E0" w:rsidP="00A644E0">
      <w:pPr>
        <w:numPr>
          <w:ilvl w:val="0"/>
          <w:numId w:val="4"/>
        </w:numPr>
        <w:tabs>
          <w:tab w:val="num" w:pos="720"/>
        </w:tabs>
        <w:spacing w:before="120"/>
        <w:ind w:left="357" w:hanging="357"/>
        <w:rPr>
          <w:rFonts w:cs="Arial"/>
        </w:rPr>
      </w:pPr>
      <w:r w:rsidRPr="003D3479">
        <w:rPr>
          <w:rFonts w:cs="Arial"/>
          <w:b/>
          <w:bCs/>
        </w:rPr>
        <w:t>Prise en compte des personnes à charge</w:t>
      </w:r>
      <w:r w:rsidRPr="003D3479">
        <w:rPr>
          <w:rFonts w:cs="Arial"/>
        </w:rPr>
        <w:t xml:space="preserve"> : La présence de personnes à charge réduit la part saisissable. Plus le débiteur a de personnes à charge, plus la fraction du salaire insaisissable est élevée.</w:t>
      </w:r>
    </w:p>
    <w:p w14:paraId="25A8D367" w14:textId="79631B58" w:rsidR="005E0195" w:rsidRPr="00853857" w:rsidRDefault="005E0195" w:rsidP="005E0195">
      <w:pPr>
        <w:spacing w:before="240" w:after="120"/>
        <w:rPr>
          <w:b/>
          <w:sz w:val="24"/>
          <w:szCs w:val="32"/>
        </w:rPr>
      </w:pPr>
      <w:r>
        <w:rPr>
          <w:b/>
          <w:sz w:val="24"/>
          <w:szCs w:val="32"/>
        </w:rPr>
        <w:lastRenderedPageBreak/>
        <w:t>Réponses</w:t>
      </w:r>
    </w:p>
    <w:p w14:paraId="230B8720" w14:textId="77777777" w:rsidR="005E0195" w:rsidRDefault="005E0195" w:rsidP="005E0195">
      <w:pPr>
        <w:pStyle w:val="Paragraphedeliste"/>
        <w:ind w:left="360"/>
        <w:rPr>
          <w:bCs/>
        </w:rPr>
      </w:pPr>
    </w:p>
    <w:p w14:paraId="4474A01B" w14:textId="16F729CE" w:rsidR="005E0195" w:rsidRDefault="005E0195" w:rsidP="005E0195">
      <w:pPr>
        <w:pStyle w:val="Paragraphedeliste"/>
        <w:numPr>
          <w:ilvl w:val="0"/>
          <w:numId w:val="6"/>
        </w:numPr>
        <w:rPr>
          <w:bCs/>
        </w:rPr>
      </w:pPr>
      <w:r w:rsidRPr="005E0195">
        <w:rPr>
          <w:bCs/>
        </w:rPr>
        <w:t>L’employeur peut-il mettre en œuvre seul une saisie-arrêt ?</w:t>
      </w:r>
    </w:p>
    <w:p w14:paraId="41AB0F56" w14:textId="77777777" w:rsidR="005E0195" w:rsidRDefault="005E0195" w:rsidP="005E0195">
      <w:pPr>
        <w:rPr>
          <w:bCs/>
        </w:rPr>
      </w:pPr>
    </w:p>
    <w:p w14:paraId="46E69DDE" w14:textId="77777777" w:rsidR="005E0195" w:rsidRDefault="005E0195" w:rsidP="005E0195">
      <w:pPr>
        <w:rPr>
          <w:bCs/>
        </w:rPr>
      </w:pPr>
    </w:p>
    <w:p w14:paraId="64A4C8B1" w14:textId="77777777" w:rsidR="005E0195" w:rsidRDefault="005E0195" w:rsidP="005E0195">
      <w:pPr>
        <w:rPr>
          <w:bCs/>
        </w:rPr>
      </w:pPr>
    </w:p>
    <w:p w14:paraId="36D6F12C" w14:textId="77777777" w:rsidR="005E0195" w:rsidRDefault="005E0195" w:rsidP="005E0195">
      <w:pPr>
        <w:rPr>
          <w:bCs/>
        </w:rPr>
      </w:pPr>
    </w:p>
    <w:p w14:paraId="60066998" w14:textId="77777777" w:rsidR="005E0195" w:rsidRPr="005E0195" w:rsidRDefault="005E0195" w:rsidP="005E0195">
      <w:pPr>
        <w:rPr>
          <w:bCs/>
        </w:rPr>
      </w:pPr>
    </w:p>
    <w:p w14:paraId="492EF41D" w14:textId="77777777" w:rsidR="005E0195" w:rsidRDefault="005E0195" w:rsidP="005E0195">
      <w:pPr>
        <w:pStyle w:val="Paragraphedeliste"/>
        <w:numPr>
          <w:ilvl w:val="0"/>
          <w:numId w:val="6"/>
        </w:numPr>
        <w:rPr>
          <w:bCs/>
        </w:rPr>
      </w:pPr>
      <w:r w:rsidRPr="005E0195">
        <w:rPr>
          <w:bCs/>
        </w:rPr>
        <w:t>Qui prononce la saisie-arrêt ?</w:t>
      </w:r>
    </w:p>
    <w:p w14:paraId="1F4F074E" w14:textId="77777777" w:rsidR="005E0195" w:rsidRDefault="005E0195" w:rsidP="005E0195">
      <w:pPr>
        <w:rPr>
          <w:bCs/>
        </w:rPr>
      </w:pPr>
    </w:p>
    <w:p w14:paraId="386E3F61" w14:textId="77777777" w:rsidR="005E0195" w:rsidRDefault="005E0195" w:rsidP="005E0195">
      <w:pPr>
        <w:rPr>
          <w:bCs/>
        </w:rPr>
      </w:pPr>
    </w:p>
    <w:p w14:paraId="582FF923" w14:textId="77777777" w:rsidR="005E0195" w:rsidRDefault="005E0195" w:rsidP="005E0195">
      <w:pPr>
        <w:rPr>
          <w:bCs/>
        </w:rPr>
      </w:pPr>
    </w:p>
    <w:p w14:paraId="0F8AD4D9" w14:textId="77777777" w:rsidR="005E0195" w:rsidRDefault="005E0195" w:rsidP="005E0195">
      <w:pPr>
        <w:rPr>
          <w:bCs/>
        </w:rPr>
      </w:pPr>
    </w:p>
    <w:p w14:paraId="1023AB52" w14:textId="77777777" w:rsidR="005E0195" w:rsidRPr="005E0195" w:rsidRDefault="005E0195" w:rsidP="005E0195">
      <w:pPr>
        <w:rPr>
          <w:bCs/>
        </w:rPr>
      </w:pPr>
    </w:p>
    <w:p w14:paraId="2957E13E" w14:textId="77777777" w:rsidR="005E0195" w:rsidRDefault="005E0195" w:rsidP="005E0195">
      <w:pPr>
        <w:pStyle w:val="Paragraphedeliste"/>
        <w:numPr>
          <w:ilvl w:val="0"/>
          <w:numId w:val="6"/>
        </w:numPr>
        <w:rPr>
          <w:bCs/>
        </w:rPr>
      </w:pPr>
      <w:r w:rsidRPr="005E0195">
        <w:rPr>
          <w:bCs/>
        </w:rPr>
        <w:t>Comment est calculé le montant de la saisie-arrêt ?</w:t>
      </w:r>
    </w:p>
    <w:p w14:paraId="14E66399" w14:textId="77777777" w:rsidR="005E0195" w:rsidRDefault="005E0195" w:rsidP="005E0195">
      <w:pPr>
        <w:rPr>
          <w:bCs/>
        </w:rPr>
      </w:pPr>
    </w:p>
    <w:p w14:paraId="321E3A19" w14:textId="77777777" w:rsidR="005E0195" w:rsidRDefault="005E0195" w:rsidP="005E0195">
      <w:pPr>
        <w:rPr>
          <w:bCs/>
        </w:rPr>
      </w:pPr>
    </w:p>
    <w:p w14:paraId="39F2317D" w14:textId="77777777" w:rsidR="005E0195" w:rsidRDefault="005E0195" w:rsidP="005E0195">
      <w:pPr>
        <w:rPr>
          <w:bCs/>
        </w:rPr>
      </w:pPr>
    </w:p>
    <w:p w14:paraId="575AB125" w14:textId="77777777" w:rsidR="005E0195" w:rsidRDefault="005E0195" w:rsidP="005E0195">
      <w:pPr>
        <w:rPr>
          <w:bCs/>
        </w:rPr>
      </w:pPr>
    </w:p>
    <w:p w14:paraId="4A18929D" w14:textId="77777777" w:rsidR="005E0195" w:rsidRPr="005E0195" w:rsidRDefault="005E0195" w:rsidP="005E0195">
      <w:pPr>
        <w:rPr>
          <w:bCs/>
        </w:rPr>
      </w:pPr>
    </w:p>
    <w:p w14:paraId="2B68BFCC" w14:textId="77777777" w:rsidR="005E0195" w:rsidRDefault="005E0195" w:rsidP="005E0195">
      <w:pPr>
        <w:pStyle w:val="Paragraphedeliste"/>
        <w:numPr>
          <w:ilvl w:val="0"/>
          <w:numId w:val="6"/>
        </w:numPr>
        <w:rPr>
          <w:bCs/>
        </w:rPr>
      </w:pPr>
      <w:r w:rsidRPr="005E0195">
        <w:rPr>
          <w:bCs/>
        </w:rPr>
        <w:t>Qu’est-ce que la portion insaisissable d’un salaire et pour quelle raison est-elle insaisissable ?</w:t>
      </w:r>
    </w:p>
    <w:p w14:paraId="49A4919E" w14:textId="77777777" w:rsidR="005E0195" w:rsidRDefault="005E0195" w:rsidP="005E0195">
      <w:pPr>
        <w:rPr>
          <w:bCs/>
        </w:rPr>
      </w:pPr>
    </w:p>
    <w:p w14:paraId="756A86F1" w14:textId="77777777" w:rsidR="005E0195" w:rsidRDefault="005E0195" w:rsidP="005E0195">
      <w:pPr>
        <w:rPr>
          <w:bCs/>
        </w:rPr>
      </w:pPr>
    </w:p>
    <w:p w14:paraId="00FA8ED3" w14:textId="77777777" w:rsidR="005E0195" w:rsidRDefault="005E0195" w:rsidP="005E0195">
      <w:pPr>
        <w:rPr>
          <w:bCs/>
        </w:rPr>
      </w:pPr>
    </w:p>
    <w:p w14:paraId="154B0397" w14:textId="77777777" w:rsidR="005E0195" w:rsidRDefault="005E0195" w:rsidP="005E0195">
      <w:pPr>
        <w:rPr>
          <w:bCs/>
        </w:rPr>
      </w:pPr>
    </w:p>
    <w:p w14:paraId="0A1C1DB8" w14:textId="77777777" w:rsidR="005E0195" w:rsidRDefault="005E0195" w:rsidP="005E0195">
      <w:pPr>
        <w:rPr>
          <w:bCs/>
        </w:rPr>
      </w:pPr>
    </w:p>
    <w:p w14:paraId="4A0172C9" w14:textId="77777777" w:rsidR="005E0195" w:rsidRPr="005E0195" w:rsidRDefault="005E0195" w:rsidP="005E0195">
      <w:pPr>
        <w:rPr>
          <w:bCs/>
        </w:rPr>
      </w:pPr>
    </w:p>
    <w:p w14:paraId="6C92B865" w14:textId="77777777" w:rsidR="005E0195" w:rsidRPr="005E0195" w:rsidRDefault="005E0195" w:rsidP="005E0195">
      <w:pPr>
        <w:pStyle w:val="Paragraphedeliste"/>
        <w:numPr>
          <w:ilvl w:val="0"/>
          <w:numId w:val="6"/>
        </w:numPr>
        <w:rPr>
          <w:bCs/>
        </w:rPr>
      </w:pPr>
      <w:r w:rsidRPr="005E0195">
        <w:rPr>
          <w:bCs/>
        </w:rPr>
        <w:t>Dans quel cas la saisie n’exige pas une décision de justice ?</w:t>
      </w:r>
    </w:p>
    <w:p w14:paraId="53B8D8E0" w14:textId="77777777" w:rsidR="005E0195" w:rsidRDefault="005E0195" w:rsidP="005E0195">
      <w:pPr>
        <w:rPr>
          <w:rFonts w:cs="Arial"/>
          <w:b/>
        </w:rPr>
      </w:pPr>
    </w:p>
    <w:p w14:paraId="08EABB31" w14:textId="77777777" w:rsidR="001B014B" w:rsidRPr="00937ECE" w:rsidRDefault="001B014B">
      <w:pPr>
        <w:rPr>
          <w:sz w:val="22"/>
          <w:szCs w:val="28"/>
        </w:rPr>
      </w:pPr>
    </w:p>
    <w:sectPr w:rsidR="001B014B" w:rsidRPr="00937ECE" w:rsidSect="00937EC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25252"/>
    <w:multiLevelType w:val="hybridMultilevel"/>
    <w:tmpl w:val="B3D693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6B96D59"/>
    <w:multiLevelType w:val="hybridMultilevel"/>
    <w:tmpl w:val="F27ABF4A"/>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B662363"/>
    <w:multiLevelType w:val="multilevel"/>
    <w:tmpl w:val="9AFE8EA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D5C5A04"/>
    <w:multiLevelType w:val="hybridMultilevel"/>
    <w:tmpl w:val="3426E076"/>
    <w:lvl w:ilvl="0" w:tplc="C216559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3894A5F"/>
    <w:multiLevelType w:val="hybridMultilevel"/>
    <w:tmpl w:val="C56C38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5BC73F1"/>
    <w:multiLevelType w:val="multilevel"/>
    <w:tmpl w:val="6AC804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35172845">
    <w:abstractNumId w:val="0"/>
  </w:num>
  <w:num w:numId="2" w16cid:durableId="1038117790">
    <w:abstractNumId w:val="3"/>
  </w:num>
  <w:num w:numId="3" w16cid:durableId="1393388780">
    <w:abstractNumId w:val="5"/>
  </w:num>
  <w:num w:numId="4" w16cid:durableId="720399591">
    <w:abstractNumId w:val="2"/>
  </w:num>
  <w:num w:numId="5" w16cid:durableId="1117987821">
    <w:abstractNumId w:val="1"/>
  </w:num>
  <w:num w:numId="6" w16cid:durableId="240262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CE"/>
    <w:rsid w:val="001B014B"/>
    <w:rsid w:val="002A5F94"/>
    <w:rsid w:val="004831D4"/>
    <w:rsid w:val="005E0195"/>
    <w:rsid w:val="00643225"/>
    <w:rsid w:val="00744B11"/>
    <w:rsid w:val="00937ECE"/>
    <w:rsid w:val="009A6C13"/>
    <w:rsid w:val="00A644E0"/>
    <w:rsid w:val="00C567E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4039"/>
  <w15:chartTrackingRefBased/>
  <w15:docId w15:val="{03CC3F1A-CAE3-4464-922A-2A54CAAA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ECE"/>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937E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937ECE"/>
    <w:pPr>
      <w:spacing w:before="0"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37ECE"/>
    <w:rPr>
      <w:rFonts w:ascii="Arial Black" w:eastAsiaTheme="majorEastAsia" w:hAnsi="Arial Black" w:cstheme="majorBidi"/>
      <w:b/>
      <w:bCs/>
      <w:sz w:val="24"/>
      <w:szCs w:val="28"/>
      <w:lang w:eastAsia="fr-FR"/>
    </w:rPr>
  </w:style>
  <w:style w:type="paragraph" w:styleId="Paragraphedeliste">
    <w:name w:val="List Paragraph"/>
    <w:basedOn w:val="Normal"/>
    <w:uiPriority w:val="34"/>
    <w:qFormat/>
    <w:rsid w:val="00937ECE"/>
    <w:pPr>
      <w:ind w:left="720"/>
      <w:contextualSpacing/>
    </w:pPr>
  </w:style>
  <w:style w:type="table" w:styleId="Grilledutableau">
    <w:name w:val="Table Grid"/>
    <w:basedOn w:val="TableauNormal"/>
    <w:uiPriority w:val="39"/>
    <w:rsid w:val="00937E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937ECE"/>
    <w:rPr>
      <w:rFonts w:asciiTheme="majorHAnsi" w:eastAsiaTheme="majorEastAsia" w:hAnsiTheme="majorHAnsi" w:cstheme="majorBidi"/>
      <w:color w:val="2F5496" w:themeColor="accent1" w:themeShade="BF"/>
      <w:sz w:val="32"/>
      <w:szCs w:val="32"/>
      <w:lang w:eastAsia="fr-FR"/>
    </w:rPr>
  </w:style>
  <w:style w:type="character" w:styleId="Accentuation">
    <w:name w:val="Emphasis"/>
    <w:basedOn w:val="Policepardfaut"/>
    <w:uiPriority w:val="20"/>
    <w:qFormat/>
    <w:rsid w:val="00A644E0"/>
    <w:rPr>
      <w:i/>
      <w:iCs/>
    </w:rPr>
  </w:style>
  <w:style w:type="character" w:styleId="lev">
    <w:name w:val="Strong"/>
    <w:basedOn w:val="Policepardfaut"/>
    <w:uiPriority w:val="22"/>
    <w:qFormat/>
    <w:rsid w:val="00A644E0"/>
    <w:rPr>
      <w:b/>
      <w:bCs/>
    </w:rPr>
  </w:style>
  <w:style w:type="character" w:customStyle="1" w:styleId="tool-tip">
    <w:name w:val="tool-tip"/>
    <w:basedOn w:val="Policepardfaut"/>
    <w:rsid w:val="00A644E0"/>
  </w:style>
  <w:style w:type="character" w:customStyle="1" w:styleId="fr-sr-only">
    <w:name w:val="fr-sr-only"/>
    <w:basedOn w:val="Policepardfaut"/>
    <w:rsid w:val="00A6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3559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2020-11-18T23:28:00Z</dcterms:created>
  <dcterms:modified xsi:type="dcterms:W3CDTF">2024-10-10T20:30:00Z</dcterms:modified>
</cp:coreProperties>
</file>