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A90D7B" w:rsidRPr="006D456D" w14:paraId="3A57B21F" w14:textId="77777777" w:rsidTr="003436C1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A30B9E0" w14:textId="77777777" w:rsidR="00A90D7B" w:rsidRPr="006D456D" w:rsidRDefault="00A90D7B" w:rsidP="003436C1">
            <w:pPr>
              <w:pStyle w:val="Titre2"/>
              <w:tabs>
                <w:tab w:val="left" w:pos="6970"/>
              </w:tabs>
              <w:spacing w:before="120"/>
              <w:jc w:val="center"/>
              <w:rPr>
                <w:szCs w:val="22"/>
              </w:rPr>
            </w:pPr>
            <w:r w:rsidRPr="006D456D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 xml:space="preserve">1 </w:t>
            </w:r>
            <w:r w:rsidRPr="006D456D">
              <w:rPr>
                <w:szCs w:val="22"/>
              </w:rPr>
              <w:t xml:space="preserve">- Identifier les </w:t>
            </w:r>
            <w:r>
              <w:rPr>
                <w:szCs w:val="22"/>
              </w:rPr>
              <w:t>conséquences des impayés</w:t>
            </w:r>
          </w:p>
        </w:tc>
      </w:tr>
      <w:tr w:rsidR="00A90D7B" w:rsidRPr="00173A63" w14:paraId="0475EE33" w14:textId="77777777" w:rsidTr="003436C1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515930E4" w14:textId="77777777" w:rsidR="00A90D7B" w:rsidRPr="00173A63" w:rsidRDefault="00A90D7B" w:rsidP="003436C1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65B58EAA" w14:textId="6F9E8986" w:rsidR="00A90D7B" w:rsidRPr="00173A63" w:rsidRDefault="00D243BC" w:rsidP="003436C1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00EBC70" wp14:editId="405FD7C0">
                  <wp:extent cx="324000" cy="324000"/>
                  <wp:effectExtent l="0" t="0" r="0" b="0"/>
                  <wp:docPr id="56740741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56740741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37E4AA08" wp14:editId="5A5BC11B">
                  <wp:extent cx="360000" cy="360000"/>
                  <wp:effectExtent l="0" t="0" r="0" b="2540"/>
                  <wp:docPr id="59467653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594676537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12F08EC" w14:textId="77777777" w:rsidR="00A90D7B" w:rsidRPr="006D456D" w:rsidRDefault="00A90D7B" w:rsidP="003436C1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3B3FD14D" w14:textId="77777777" w:rsidR="00A90D7B" w:rsidRPr="00D22CEC" w:rsidRDefault="00A90D7B" w:rsidP="00A90D7B">
      <w:pPr>
        <w:spacing w:before="240"/>
        <w:rPr>
          <w:b/>
          <w:sz w:val="24"/>
          <w:szCs w:val="28"/>
        </w:rPr>
      </w:pPr>
      <w:r w:rsidRPr="00D22CEC">
        <w:rPr>
          <w:b/>
          <w:sz w:val="24"/>
          <w:szCs w:val="28"/>
        </w:rPr>
        <w:t xml:space="preserve">Travail à faire </w:t>
      </w:r>
    </w:p>
    <w:p w14:paraId="1A4D53D8" w14:textId="05A47532" w:rsidR="00A90D7B" w:rsidRDefault="00A90D7B" w:rsidP="00F5371C">
      <w:pPr>
        <w:spacing w:before="120" w:after="120"/>
      </w:pPr>
      <w:r>
        <w:t xml:space="preserve">Après avoir lu le </w:t>
      </w:r>
      <w:r w:rsidRPr="00F5371C">
        <w:rPr>
          <w:b/>
          <w:bCs/>
        </w:rPr>
        <w:t>document</w:t>
      </w:r>
      <w:r>
        <w:t xml:space="preserve"> répond</w:t>
      </w:r>
      <w:r w:rsidR="00F5371C">
        <w:t>ez</w:t>
      </w:r>
      <w:r>
        <w:t xml:space="preserve"> aux questions suivantes :</w:t>
      </w:r>
    </w:p>
    <w:p w14:paraId="23964A08" w14:textId="77777777" w:rsidR="00A90D7B" w:rsidRPr="00C13DB5" w:rsidRDefault="00A90D7B" w:rsidP="00A90D7B">
      <w:pPr>
        <w:pStyle w:val="Paragraphedeliste"/>
        <w:numPr>
          <w:ilvl w:val="0"/>
          <w:numId w:val="1"/>
        </w:numPr>
        <w:rPr>
          <w:rFonts w:cs="Arial"/>
        </w:rPr>
      </w:pPr>
      <w:r w:rsidRPr="00C13DB5">
        <w:rPr>
          <w:rFonts w:cs="Arial"/>
        </w:rPr>
        <w:t>Quelle</w:t>
      </w:r>
      <w:r>
        <w:rPr>
          <w:rFonts w:cs="Arial"/>
        </w:rPr>
        <w:t>s</w:t>
      </w:r>
      <w:r w:rsidRPr="00C13DB5">
        <w:rPr>
          <w:rFonts w:cs="Arial"/>
        </w:rPr>
        <w:t xml:space="preserve"> </w:t>
      </w:r>
      <w:r>
        <w:rPr>
          <w:rFonts w:cs="Arial"/>
        </w:rPr>
        <w:t xml:space="preserve">sont les </w:t>
      </w:r>
      <w:r w:rsidRPr="00C13DB5">
        <w:rPr>
          <w:rFonts w:cs="Arial"/>
        </w:rPr>
        <w:t>conséquence</w:t>
      </w:r>
      <w:r>
        <w:rPr>
          <w:rFonts w:cs="Arial"/>
        </w:rPr>
        <w:t>s</w:t>
      </w:r>
      <w:r w:rsidRPr="00C13DB5">
        <w:rPr>
          <w:rFonts w:cs="Arial"/>
        </w:rPr>
        <w:t xml:space="preserve"> des retards de paiement</w:t>
      </w:r>
      <w:r>
        <w:rPr>
          <w:rFonts w:cs="Arial"/>
        </w:rPr>
        <w:t> pour les entreprises ?</w:t>
      </w:r>
    </w:p>
    <w:p w14:paraId="57A2D019" w14:textId="77777777" w:rsidR="00A90D7B" w:rsidRDefault="00A90D7B" w:rsidP="00A90D7B">
      <w:pPr>
        <w:pStyle w:val="Paragraphedeliste"/>
        <w:numPr>
          <w:ilvl w:val="0"/>
          <w:numId w:val="1"/>
        </w:numPr>
        <w:rPr>
          <w:rFonts w:cs="Arial"/>
        </w:rPr>
      </w:pPr>
      <w:r w:rsidRPr="00C13DB5">
        <w:rPr>
          <w:rFonts w:cs="Arial"/>
        </w:rPr>
        <w:t>Quelle est la proportion des PME qui ont rencontré des retards de paiement</w:t>
      </w:r>
      <w:r>
        <w:rPr>
          <w:rFonts w:cs="Arial"/>
        </w:rPr>
        <w:t> ?</w:t>
      </w:r>
    </w:p>
    <w:p w14:paraId="1C163BF5" w14:textId="77777777" w:rsidR="00A90D7B" w:rsidRPr="00C13DB5" w:rsidRDefault="00A90D7B" w:rsidP="00A90D7B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Quelles sont les solutions préconisées ?</w:t>
      </w:r>
    </w:p>
    <w:p w14:paraId="1C06D68F" w14:textId="77777777" w:rsidR="00A90D7B" w:rsidRPr="008A5B07" w:rsidRDefault="00A90D7B" w:rsidP="00A90D7B">
      <w:pPr>
        <w:rPr>
          <w:rFonts w:cs="Arial"/>
        </w:rPr>
      </w:pPr>
    </w:p>
    <w:p w14:paraId="4D61FA66" w14:textId="79A04B8A" w:rsidR="00A90D7B" w:rsidRPr="00C34ACF" w:rsidRDefault="00A90D7B" w:rsidP="00A90D7B">
      <w:pPr>
        <w:jc w:val="left"/>
        <w:rPr>
          <w:b/>
          <w:sz w:val="24"/>
          <w:szCs w:val="20"/>
        </w:rPr>
      </w:pPr>
      <w:r w:rsidRPr="00C34ACF">
        <w:rPr>
          <w:b/>
          <w:color w:val="FFFFFF" w:themeColor="background1"/>
          <w:sz w:val="24"/>
          <w:szCs w:val="20"/>
          <w:highlight w:val="red"/>
        </w:rPr>
        <w:t xml:space="preserve">Doc. </w:t>
      </w:r>
      <w:r w:rsidRPr="00C34ACF">
        <w:rPr>
          <w:b/>
          <w:color w:val="FFFFFF" w:themeColor="background1"/>
          <w:sz w:val="24"/>
          <w:szCs w:val="20"/>
        </w:rPr>
        <w:t xml:space="preserve"> </w:t>
      </w:r>
      <w:r w:rsidRPr="00C34ACF">
        <w:rPr>
          <w:b/>
          <w:sz w:val="24"/>
          <w:szCs w:val="20"/>
        </w:rPr>
        <w:t>Les impayés paralysent la trésorerie des PME</w:t>
      </w:r>
    </w:p>
    <w:p w14:paraId="70563F63" w14:textId="77777777" w:rsidR="004B4CEE" w:rsidRPr="004C570F" w:rsidRDefault="004B4CEE" w:rsidP="004B4CEE">
      <w:pPr>
        <w:spacing w:before="120"/>
        <w:rPr>
          <w:rFonts w:cs="Arial"/>
          <w:b/>
          <w:color w:val="000000" w:themeColor="text1"/>
          <w:lang w:eastAsia="fr-FR"/>
        </w:rPr>
      </w:pPr>
      <w:r w:rsidRPr="004C570F">
        <w:rPr>
          <w:rFonts w:cs="Arial"/>
          <w:b/>
          <w:color w:val="000000" w:themeColor="text1"/>
        </w:rPr>
        <w:t xml:space="preserve">Les problèmes de trésorerie liés à de mauvais paiements plombent le quotidien de plus d'un patron. Une récente </w:t>
      </w:r>
      <w:r w:rsidRPr="004C570F">
        <w:rPr>
          <w:rFonts w:cs="Arial"/>
          <w:b/>
        </w:rPr>
        <w:t>Etude IPSOS</w:t>
      </w:r>
      <w:r w:rsidRPr="004C570F">
        <w:rPr>
          <w:rFonts w:cs="Arial"/>
          <w:b/>
          <w:color w:val="000000" w:themeColor="text1"/>
        </w:rPr>
        <w:t xml:space="preserve"> pour American Express auprès de plus de 300 chefs d'entreprises PME et ETI détaille l'ampleur du problème.</w:t>
      </w:r>
    </w:p>
    <w:p w14:paraId="37CAB8B8" w14:textId="77777777" w:rsidR="004B4CEE" w:rsidRPr="00C13DB5" w:rsidRDefault="004B4CEE" w:rsidP="004B4CEE">
      <w:pPr>
        <w:spacing w:before="120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 ressenti : la trésorerie, préoccupation majeure</w:t>
      </w:r>
    </w:p>
    <w:p w14:paraId="771D3924" w14:textId="77777777" w:rsidR="004B4CEE" w:rsidRPr="00C13DB5" w:rsidRDefault="004B4CEE" w:rsidP="004B4CEE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Selon cette étude, la trésorerie vient en tête de liste des sujets d'inquiétude. Ainsi, 70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répondants en font un enjeu prioritaire, avant même de remplir le carnet de commandes. De plus 46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personnes interrogées indiquent que les difficultés de trésorerie sont liées aux retards de paiement.</w:t>
      </w:r>
    </w:p>
    <w:p w14:paraId="3726132A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[…]</w:t>
      </w:r>
    </w:p>
    <w:p w14:paraId="4AB9FA1D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Les faits : plus de la moitié des entreprises subit des retards de paiement</w:t>
      </w:r>
    </w:p>
    <w:p w14:paraId="5BBD0BCA" w14:textId="77777777" w:rsidR="004B4CEE" w:rsidRPr="00C13DB5" w:rsidRDefault="004B4CEE" w:rsidP="004B4CEE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Les retards de paiement sont avérés : 68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patrons interrogés en ont rencontré au cours des 12 derniers mois. Plus grave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: 45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répondants ont carrément fait face à des impayés sur la même période.</w:t>
      </w:r>
    </w:p>
    <w:p w14:paraId="7E7A3BBD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L'étude précise que le délai moyen de paiement monte à 49 jours (pour rappel, le délai supplétif pour payer ses fournisseurs est fixé à 30 jours). Et selon les chiffres de L'INSEE, ce délai moyen de paiement dépasse actuellement 54 jours et tend à augmenter depuis 2013.</w:t>
      </w:r>
    </w:p>
    <w:p w14:paraId="3252CF6D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Les conséquences : les fournisseurs doivent attendre</w:t>
      </w:r>
    </w:p>
    <w:p w14:paraId="2DEC558D" w14:textId="77777777" w:rsidR="004B4CEE" w:rsidRPr="00C13DB5" w:rsidRDefault="004B4CEE" w:rsidP="004B4CEE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Mécaniquement, les entreprises dont la trésorerie chute à cause de problèmes de paiement ont plus de mal à payer leurs propres fournisseurs dans les temps. C'est le cas de 20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d'entre elles.</w:t>
      </w:r>
    </w:p>
    <w:p w14:paraId="5E9ACA9A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La conséquence la plus grave reste la mise en danger des entreprises. D'ailleurs, retards de paiement et impayés causent un quart des dépôts de bilan annuels.</w:t>
      </w:r>
    </w:p>
    <w:p w14:paraId="735B619D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Les solutions : développer le recours à des expertises externes</w:t>
      </w:r>
      <w:r w:rsidRPr="00C13DB5">
        <w:rPr>
          <w:rFonts w:cs="Arial"/>
          <w:color w:val="000000" w:themeColor="text1"/>
        </w:rPr>
        <w:t xml:space="preserve"> </w:t>
      </w:r>
    </w:p>
    <w:p w14:paraId="13BCC4EA" w14:textId="77777777" w:rsidR="004B4CEE" w:rsidRPr="00C13DB5" w:rsidRDefault="004B4CEE" w:rsidP="004B4CEE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Les entreprises activent plusieurs stratégies pour faire face à leurs impayés : 29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gèrent les relances en interne, 24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négocient des facilités de caisse avec leur banque et 19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négocient avec les fournisseurs.</w:t>
      </w:r>
    </w:p>
    <w:p w14:paraId="4BDB08AB" w14:textId="77777777" w:rsidR="004B4CEE" w:rsidRPr="00C13DB5" w:rsidRDefault="004B4CEE" w:rsidP="004B4CEE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Ces stratégies font encore peu appel aux expertises externes. Parmi elles figure l'affacturage</w:t>
      </w:r>
      <w:r w:rsidR="00D331D5">
        <w:rPr>
          <w:rFonts w:cs="Arial"/>
          <w:color w:val="000000" w:themeColor="text1"/>
        </w:rPr>
        <w:t>, l’assurance-crédit,</w:t>
      </w:r>
      <w:r w:rsidRPr="00C13DB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[…]</w:t>
      </w:r>
      <w:r w:rsidRPr="00C13DB5">
        <w:rPr>
          <w:rFonts w:cs="Arial"/>
          <w:color w:val="000000" w:themeColor="text1"/>
        </w:rPr>
        <w:t xml:space="preserve"> </w:t>
      </w:r>
      <w:proofErr w:type="spellStart"/>
      <w:r w:rsidRPr="00C13DB5">
        <w:rPr>
          <w:rFonts w:cs="Arial"/>
          <w:color w:val="000000" w:themeColor="text1"/>
        </w:rPr>
        <w:t>Egalement</w:t>
      </w:r>
      <w:proofErr w:type="spellEnd"/>
      <w:r w:rsidRPr="00C13DB5">
        <w:rPr>
          <w:rFonts w:cs="Arial"/>
          <w:color w:val="000000" w:themeColor="text1"/>
        </w:rPr>
        <w:t>, les solutions des cabinets de recouvrement sont des alternatives. Les entreprises peuvent aussi solliciter le médiateur interentreprises de Bercy, quand un client grand compte tend à a</w:t>
      </w:r>
      <w:r>
        <w:rPr>
          <w:rFonts w:cs="Arial"/>
          <w:color w:val="000000" w:themeColor="text1"/>
        </w:rPr>
        <w:t>buser de sa position dominante. […]</w:t>
      </w:r>
    </w:p>
    <w:p w14:paraId="2CE862C9" w14:textId="77777777" w:rsidR="004B4CEE" w:rsidRPr="006B1E3D" w:rsidRDefault="004B4CEE" w:rsidP="004B4CEE">
      <w:pPr>
        <w:spacing w:line="270" w:lineRule="atLeast"/>
        <w:rPr>
          <w:rFonts w:cs="Arial"/>
          <w:color w:val="000000" w:themeColor="text1"/>
          <w:sz w:val="20"/>
          <w:szCs w:val="20"/>
        </w:rPr>
      </w:pPr>
    </w:p>
    <w:p w14:paraId="6A228A9D" w14:textId="77777777" w:rsidR="004B4CEE" w:rsidRDefault="00000000" w:rsidP="004B4CEE">
      <w:pPr>
        <w:rPr>
          <w:rFonts w:cs="Arial"/>
          <w:color w:val="000000" w:themeColor="text1"/>
          <w:sz w:val="20"/>
          <w:szCs w:val="20"/>
        </w:rPr>
      </w:pPr>
      <w:hyperlink r:id="rId9" w:history="1">
        <w:r w:rsidR="004B4CEE" w:rsidRPr="00A7310D">
          <w:rPr>
            <w:rStyle w:val="Lienhypertexte"/>
            <w:rFonts w:ascii="Segoe UI" w:hAnsi="Segoe UI" w:cs="Segoe UI"/>
            <w:sz w:val="20"/>
            <w:szCs w:val="20"/>
            <w:lang w:eastAsia="fr-FR"/>
          </w:rPr>
          <w:t>http://www.direct-recouvrement.fr/decret-96-1112/209-etude-ipsos-les-impayes-paralysent-la-tresorerie-des-pme</w:t>
        </w:r>
      </w:hyperlink>
      <w:r w:rsidR="004B4CEE">
        <w:rPr>
          <w:rFonts w:ascii="Segoe UI" w:hAnsi="Segoe UI" w:cs="Segoe UI"/>
          <w:color w:val="000000"/>
          <w:sz w:val="20"/>
          <w:szCs w:val="20"/>
          <w:lang w:eastAsia="fr-FR"/>
        </w:rPr>
        <w:t xml:space="preserve"> </w:t>
      </w:r>
      <w:r w:rsidR="004B4CEE" w:rsidRPr="00C13DB5">
        <w:rPr>
          <w:rFonts w:cs="Arial"/>
          <w:color w:val="000000" w:themeColor="text1"/>
          <w:sz w:val="20"/>
          <w:szCs w:val="20"/>
        </w:rPr>
        <w:t>Philippe Bernis (Direct Recouvrement)</w:t>
      </w:r>
    </w:p>
    <w:p w14:paraId="4A2CA1D2" w14:textId="77777777" w:rsidR="004B4CEE" w:rsidRDefault="004B4CEE" w:rsidP="004B4CEE">
      <w:pPr>
        <w:rPr>
          <w:color w:val="000000" w:themeColor="text1"/>
        </w:rPr>
      </w:pPr>
    </w:p>
    <w:p w14:paraId="2D48C7A3" w14:textId="77777777" w:rsidR="0047522E" w:rsidRDefault="0047522E"/>
    <w:p w14:paraId="5C1F8397" w14:textId="35CB89BA" w:rsidR="00F706E4" w:rsidRDefault="00F706E4"/>
    <w:p w14:paraId="5C6F6E86" w14:textId="39EFEF3C" w:rsidR="00A90D7B" w:rsidRDefault="00A90D7B"/>
    <w:p w14:paraId="44B9A17F" w14:textId="207550AB" w:rsidR="00A90D7B" w:rsidRDefault="00A90D7B"/>
    <w:p w14:paraId="4FA46731" w14:textId="77777777" w:rsidR="00A90D7B" w:rsidRDefault="00A90D7B"/>
    <w:p w14:paraId="40082DB8" w14:textId="77777777" w:rsidR="00F706E4" w:rsidRDefault="00F706E4"/>
    <w:p w14:paraId="14CEBAF9" w14:textId="77777777" w:rsidR="00F706E4" w:rsidRDefault="00F706E4"/>
    <w:p w14:paraId="14440307" w14:textId="73ACE0AC" w:rsidR="00F706E4" w:rsidRPr="00F706E4" w:rsidRDefault="00F5371C" w:rsidP="00F706E4">
      <w:pPr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1034CDCE" w14:textId="77777777" w:rsidR="00F706E4" w:rsidRDefault="00F706E4" w:rsidP="00F706E4">
      <w:pPr>
        <w:rPr>
          <w:b/>
          <w:sz w:val="24"/>
        </w:rPr>
      </w:pPr>
    </w:p>
    <w:p w14:paraId="4EA5CDC2" w14:textId="77777777" w:rsidR="00F706E4" w:rsidRPr="00F5371C" w:rsidRDefault="00F706E4" w:rsidP="00F5371C">
      <w:pPr>
        <w:pStyle w:val="Paragraphedeliste"/>
        <w:numPr>
          <w:ilvl w:val="0"/>
          <w:numId w:val="2"/>
        </w:numPr>
        <w:rPr>
          <w:rFonts w:cs="Arial"/>
          <w:b/>
          <w:szCs w:val="20"/>
        </w:rPr>
      </w:pPr>
      <w:r w:rsidRPr="00F5371C">
        <w:rPr>
          <w:rFonts w:cs="Arial"/>
          <w:b/>
          <w:szCs w:val="20"/>
        </w:rPr>
        <w:t>Quelle</w:t>
      </w:r>
      <w:r w:rsidR="008E34AE" w:rsidRPr="00F5371C">
        <w:rPr>
          <w:rFonts w:cs="Arial"/>
          <w:b/>
          <w:szCs w:val="20"/>
        </w:rPr>
        <w:t>s</w:t>
      </w:r>
      <w:r w:rsidRPr="00F5371C">
        <w:rPr>
          <w:rFonts w:cs="Arial"/>
          <w:b/>
          <w:szCs w:val="20"/>
        </w:rPr>
        <w:t xml:space="preserve"> sont les conséquences des retards de paiement pour les entreprises ?</w:t>
      </w:r>
    </w:p>
    <w:p w14:paraId="49D36265" w14:textId="77777777" w:rsidR="00F706E4" w:rsidRDefault="00F706E4" w:rsidP="00F706E4">
      <w:pPr>
        <w:rPr>
          <w:rFonts w:cs="Arial"/>
          <w:b/>
          <w:szCs w:val="20"/>
        </w:rPr>
      </w:pPr>
    </w:p>
    <w:p w14:paraId="50927F15" w14:textId="77777777" w:rsidR="00F5371C" w:rsidRDefault="00F5371C" w:rsidP="00F706E4">
      <w:pPr>
        <w:rPr>
          <w:rFonts w:cs="Arial"/>
          <w:b/>
          <w:szCs w:val="20"/>
        </w:rPr>
      </w:pPr>
    </w:p>
    <w:p w14:paraId="7C577E57" w14:textId="77777777" w:rsidR="00F5371C" w:rsidRDefault="00F5371C" w:rsidP="00F706E4">
      <w:pPr>
        <w:rPr>
          <w:rFonts w:cs="Arial"/>
          <w:b/>
          <w:szCs w:val="20"/>
        </w:rPr>
      </w:pPr>
    </w:p>
    <w:p w14:paraId="093F4617" w14:textId="77777777" w:rsidR="00F5371C" w:rsidRDefault="00F5371C" w:rsidP="00F706E4">
      <w:pPr>
        <w:rPr>
          <w:rFonts w:cs="Arial"/>
          <w:b/>
          <w:szCs w:val="20"/>
        </w:rPr>
      </w:pPr>
    </w:p>
    <w:p w14:paraId="06F2DA6E" w14:textId="77777777" w:rsidR="00F5371C" w:rsidRPr="00F5371C" w:rsidRDefault="00F5371C" w:rsidP="00F706E4">
      <w:pPr>
        <w:rPr>
          <w:rFonts w:cs="Arial"/>
          <w:b/>
          <w:szCs w:val="20"/>
        </w:rPr>
      </w:pPr>
    </w:p>
    <w:p w14:paraId="4D728B24" w14:textId="77777777" w:rsidR="00F706E4" w:rsidRPr="00F5371C" w:rsidRDefault="00F706E4" w:rsidP="00F706E4">
      <w:pPr>
        <w:rPr>
          <w:rFonts w:cs="Arial"/>
          <w:b/>
          <w:szCs w:val="20"/>
        </w:rPr>
      </w:pPr>
    </w:p>
    <w:p w14:paraId="3E50C4BC" w14:textId="77777777" w:rsidR="00F706E4" w:rsidRPr="00F5371C" w:rsidRDefault="00F706E4" w:rsidP="00F5371C">
      <w:pPr>
        <w:pStyle w:val="Paragraphedeliste"/>
        <w:numPr>
          <w:ilvl w:val="0"/>
          <w:numId w:val="2"/>
        </w:numPr>
        <w:rPr>
          <w:rFonts w:cs="Arial"/>
          <w:b/>
          <w:szCs w:val="20"/>
        </w:rPr>
      </w:pPr>
      <w:r w:rsidRPr="00F5371C">
        <w:rPr>
          <w:rFonts w:cs="Arial"/>
          <w:b/>
          <w:szCs w:val="20"/>
        </w:rPr>
        <w:t>Quelle est la proportion des PME qui ont rencontré des retards de paiement ?</w:t>
      </w:r>
    </w:p>
    <w:p w14:paraId="3B984646" w14:textId="77777777" w:rsidR="00F706E4" w:rsidRPr="00F5371C" w:rsidRDefault="00F706E4" w:rsidP="00F706E4">
      <w:pPr>
        <w:pStyle w:val="Paragraphedeliste"/>
        <w:rPr>
          <w:rFonts w:cs="Arial"/>
          <w:b/>
          <w:szCs w:val="20"/>
        </w:rPr>
      </w:pPr>
    </w:p>
    <w:p w14:paraId="5BCCCD6F" w14:textId="77777777" w:rsidR="00F706E4" w:rsidRDefault="00F706E4" w:rsidP="00F706E4">
      <w:pPr>
        <w:rPr>
          <w:rFonts w:cs="Arial"/>
          <w:b/>
          <w:szCs w:val="20"/>
        </w:rPr>
      </w:pPr>
    </w:p>
    <w:p w14:paraId="2CDB53AF" w14:textId="77777777" w:rsidR="00F5371C" w:rsidRDefault="00F5371C" w:rsidP="00F706E4">
      <w:pPr>
        <w:rPr>
          <w:rFonts w:cs="Arial"/>
          <w:b/>
          <w:szCs w:val="20"/>
        </w:rPr>
      </w:pPr>
    </w:p>
    <w:p w14:paraId="53D00662" w14:textId="77777777" w:rsidR="00F5371C" w:rsidRDefault="00F5371C" w:rsidP="00F706E4">
      <w:pPr>
        <w:rPr>
          <w:rFonts w:cs="Arial"/>
          <w:b/>
          <w:szCs w:val="20"/>
        </w:rPr>
      </w:pPr>
    </w:p>
    <w:p w14:paraId="65B60D0D" w14:textId="77777777" w:rsidR="00F5371C" w:rsidRDefault="00F5371C" w:rsidP="00F706E4">
      <w:pPr>
        <w:rPr>
          <w:rFonts w:cs="Arial"/>
          <w:b/>
          <w:szCs w:val="20"/>
        </w:rPr>
      </w:pPr>
    </w:p>
    <w:p w14:paraId="1A871DA4" w14:textId="77777777" w:rsidR="00F5371C" w:rsidRPr="00F5371C" w:rsidRDefault="00F5371C" w:rsidP="00F706E4">
      <w:pPr>
        <w:rPr>
          <w:rFonts w:cs="Arial"/>
          <w:b/>
          <w:szCs w:val="20"/>
        </w:rPr>
      </w:pPr>
    </w:p>
    <w:p w14:paraId="5AF20BA4" w14:textId="77777777" w:rsidR="00F706E4" w:rsidRPr="00F5371C" w:rsidRDefault="00F706E4" w:rsidP="00F5371C">
      <w:pPr>
        <w:pStyle w:val="Paragraphedeliste"/>
        <w:numPr>
          <w:ilvl w:val="0"/>
          <w:numId w:val="2"/>
        </w:numPr>
        <w:rPr>
          <w:rFonts w:cs="Arial"/>
          <w:b/>
          <w:szCs w:val="20"/>
        </w:rPr>
      </w:pPr>
      <w:r w:rsidRPr="00F5371C">
        <w:rPr>
          <w:rFonts w:cs="Arial"/>
          <w:b/>
          <w:szCs w:val="20"/>
        </w:rPr>
        <w:t>Quelles sont les solutions préconisées ?</w:t>
      </w:r>
    </w:p>
    <w:p w14:paraId="12B57723" w14:textId="77777777" w:rsidR="00F706E4" w:rsidRPr="00F5371C" w:rsidRDefault="00F706E4" w:rsidP="00F706E4">
      <w:pPr>
        <w:rPr>
          <w:rFonts w:cs="Arial"/>
          <w:b/>
          <w:szCs w:val="20"/>
        </w:rPr>
      </w:pPr>
    </w:p>
    <w:p w14:paraId="56A8240C" w14:textId="77777777" w:rsidR="00F706E4" w:rsidRPr="00F5371C" w:rsidRDefault="00F706E4">
      <w:pPr>
        <w:rPr>
          <w:sz w:val="20"/>
          <w:szCs w:val="20"/>
        </w:rPr>
      </w:pPr>
    </w:p>
    <w:sectPr w:rsidR="00F706E4" w:rsidRPr="00F5371C" w:rsidSect="00A90D7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5EE"/>
    <w:multiLevelType w:val="hybridMultilevel"/>
    <w:tmpl w:val="F23EF5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02FCC"/>
    <w:multiLevelType w:val="hybridMultilevel"/>
    <w:tmpl w:val="B5C4A900"/>
    <w:lvl w:ilvl="0" w:tplc="CD06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94620">
    <w:abstractNumId w:val="1"/>
  </w:num>
  <w:num w:numId="2" w16cid:durableId="191137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EE"/>
    <w:rsid w:val="0047522E"/>
    <w:rsid w:val="004B4CEE"/>
    <w:rsid w:val="004C570F"/>
    <w:rsid w:val="008E34AE"/>
    <w:rsid w:val="00A90D7B"/>
    <w:rsid w:val="00D243BC"/>
    <w:rsid w:val="00D331D5"/>
    <w:rsid w:val="00F5371C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BEB0"/>
  <w15:chartTrackingRefBased/>
  <w15:docId w15:val="{CB876051-2E77-40C1-B078-1BABECD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E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4B4CEE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4CE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4B4C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ect-recouvrement.fr/decret-96-1112/209-etude-ipsos-les-impayes-paralysent-la-tresorerie-des-p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2015-11-02T20:58:00Z</dcterms:created>
  <dcterms:modified xsi:type="dcterms:W3CDTF">2023-10-30T09:12:00Z</dcterms:modified>
</cp:coreProperties>
</file>