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71"/>
        <w:gridCol w:w="6775"/>
        <w:gridCol w:w="791"/>
        <w:gridCol w:w="1112"/>
      </w:tblGrid>
      <w:tr w:rsidR="00BF3E31" w:rsidRPr="00BE4AAF" w14:paraId="7F388E6A" w14:textId="77777777" w:rsidTr="007C2202">
        <w:trPr>
          <w:trHeight w:val="567"/>
        </w:trPr>
        <w:tc>
          <w:tcPr>
            <w:tcW w:w="804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4963E0F" w14:textId="1088ED49" w:rsidR="00BF3E31" w:rsidRPr="00ED7B0C" w:rsidRDefault="00BF3E31" w:rsidP="007C2202">
            <w:pPr>
              <w:pStyle w:val="Titre2"/>
              <w:spacing w:after="0"/>
              <w:jc w:val="center"/>
              <w:rPr>
                <w:rFonts w:ascii="Arial" w:hAnsi="Arial"/>
                <w:color w:val="auto"/>
                <w:sz w:val="28"/>
                <w:szCs w:val="22"/>
              </w:rPr>
            </w:pPr>
            <w:r w:rsidRPr="00ED7B0C">
              <w:rPr>
                <w:rFonts w:ascii="Arial" w:hAnsi="Arial"/>
                <w:color w:val="auto"/>
                <w:sz w:val="28"/>
                <w:szCs w:val="22"/>
              </w:rPr>
              <w:t xml:space="preserve">Mission </w:t>
            </w:r>
            <w:r>
              <w:rPr>
                <w:rFonts w:ascii="Arial" w:hAnsi="Arial"/>
                <w:color w:val="auto"/>
                <w:sz w:val="28"/>
                <w:szCs w:val="22"/>
              </w:rPr>
              <w:t>8</w:t>
            </w:r>
            <w:r w:rsidRPr="00ED7B0C">
              <w:rPr>
                <w:rFonts w:ascii="Arial" w:hAnsi="Arial"/>
                <w:color w:val="auto"/>
                <w:sz w:val="28"/>
                <w:szCs w:val="22"/>
              </w:rPr>
              <w:t xml:space="preserve"> – </w:t>
            </w:r>
            <w:r>
              <w:rPr>
                <w:rFonts w:ascii="Arial" w:hAnsi="Arial"/>
                <w:color w:val="auto"/>
                <w:sz w:val="28"/>
                <w:szCs w:val="22"/>
              </w:rPr>
              <w:t>Demandez à une IA de créer une procédure hiérarchisée de recouvrement</w:t>
            </w:r>
          </w:p>
        </w:tc>
        <w:tc>
          <w:tcPr>
            <w:tcW w:w="190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2D7788C" w14:textId="77777777" w:rsidR="00BF3E31" w:rsidRPr="00ED7B0C" w:rsidRDefault="00BF3E31" w:rsidP="007C2202">
            <w:pPr>
              <w:jc w:val="center"/>
              <w:rPr>
                <w:rFonts w:cs="Arial"/>
                <w:noProof/>
                <w:lang w:eastAsia="fr-FR"/>
              </w:rPr>
            </w:pPr>
            <w:r>
              <w:rPr>
                <w:noProof/>
                <w:szCs w:val="24"/>
              </w:rPr>
              <w:drawing>
                <wp:inline distT="0" distB="0" distL="0" distR="0" wp14:anchorId="27A0F6F8" wp14:editId="652F58B7">
                  <wp:extent cx="719510" cy="592787"/>
                  <wp:effectExtent l="0" t="0" r="4445" b="0"/>
                  <wp:docPr id="711292148"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92148" name="Image 7112921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049" cy="605589"/>
                          </a:xfrm>
                          <a:prstGeom prst="rect">
                            <a:avLst/>
                          </a:prstGeom>
                        </pic:spPr>
                      </pic:pic>
                    </a:graphicData>
                  </a:graphic>
                </wp:inline>
              </w:drawing>
            </w:r>
          </w:p>
        </w:tc>
      </w:tr>
      <w:tr w:rsidR="00BF3E31" w:rsidRPr="00C22356" w14:paraId="2CD7A69F" w14:textId="77777777" w:rsidTr="007C2202">
        <w:trPr>
          <w:trHeight w:val="386"/>
        </w:trPr>
        <w:tc>
          <w:tcPr>
            <w:tcW w:w="1271" w:type="dxa"/>
            <w:shd w:val="clear" w:color="auto" w:fill="92D050"/>
            <w:vAlign w:val="center"/>
          </w:tcPr>
          <w:p w14:paraId="37BC6681" w14:textId="77777777" w:rsidR="00BF3E31" w:rsidRPr="006C7177" w:rsidRDefault="00BF3E31" w:rsidP="007C2202">
            <w:pPr>
              <w:jc w:val="left"/>
            </w:pPr>
            <w:r>
              <w:t>Durée : 50’</w:t>
            </w:r>
          </w:p>
        </w:tc>
        <w:tc>
          <w:tcPr>
            <w:tcW w:w="6775" w:type="dxa"/>
            <w:shd w:val="clear" w:color="auto" w:fill="92D050"/>
          </w:tcPr>
          <w:p w14:paraId="51B52F37" w14:textId="77777777" w:rsidR="00BF3E31" w:rsidRPr="006C7177" w:rsidRDefault="00BF3E31" w:rsidP="007C2202">
            <w:pPr>
              <w:jc w:val="center"/>
            </w:pPr>
            <w:r>
              <w:rPr>
                <w:i/>
                <w:noProof/>
              </w:rPr>
              <w:drawing>
                <wp:inline distT="0" distB="0" distL="0" distR="0" wp14:anchorId="646B4F67" wp14:editId="03D203FB">
                  <wp:extent cx="324000" cy="324000"/>
                  <wp:effectExtent l="0" t="0" r="0" b="0"/>
                  <wp:docPr id="7197627" name="Graphique 719762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roofErr w:type="gramStart"/>
            <w:r>
              <w:rPr>
                <w:i/>
              </w:rPr>
              <w:t>ou</w:t>
            </w:r>
            <w:proofErr w:type="gramEnd"/>
            <w:r>
              <w:rPr>
                <w:i/>
              </w:rPr>
              <w:t xml:space="preserve"> </w:t>
            </w:r>
            <w:r>
              <w:rPr>
                <w:i/>
                <w:noProof/>
              </w:rPr>
              <w:drawing>
                <wp:inline distT="0" distB="0" distL="0" distR="0" wp14:anchorId="2AEF5454" wp14:editId="3A82F16F">
                  <wp:extent cx="360000" cy="360000"/>
                  <wp:effectExtent l="0" t="0" r="0" b="2540"/>
                  <wp:docPr id="2005154543" name="Graphique 200515454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791" w:type="dxa"/>
            <w:shd w:val="clear" w:color="auto" w:fill="92D050"/>
            <w:vAlign w:val="center"/>
          </w:tcPr>
          <w:p w14:paraId="2EE12E58" w14:textId="77777777" w:rsidR="00BF3E31" w:rsidRPr="00264929" w:rsidRDefault="00BF3E31" w:rsidP="007C2202">
            <w:pPr>
              <w:jc w:val="center"/>
              <w:rPr>
                <w:bCs/>
              </w:rPr>
            </w:pPr>
            <w:r w:rsidRPr="00971377">
              <w:rPr>
                <w:bCs/>
                <w:noProof/>
              </w:rPr>
              <w:drawing>
                <wp:inline distT="0" distB="0" distL="0" distR="0" wp14:anchorId="4C74FDC6" wp14:editId="13344578">
                  <wp:extent cx="365557" cy="360000"/>
                  <wp:effectExtent l="0" t="0" r="0" b="2540"/>
                  <wp:docPr id="8341155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557" cy="360000"/>
                          </a:xfrm>
                          <a:prstGeom prst="rect">
                            <a:avLst/>
                          </a:prstGeom>
                          <a:noFill/>
                          <a:ln>
                            <a:noFill/>
                          </a:ln>
                        </pic:spPr>
                      </pic:pic>
                    </a:graphicData>
                  </a:graphic>
                </wp:inline>
              </w:drawing>
            </w:r>
          </w:p>
        </w:tc>
        <w:tc>
          <w:tcPr>
            <w:tcW w:w="1112" w:type="dxa"/>
            <w:shd w:val="clear" w:color="auto" w:fill="92D050"/>
            <w:vAlign w:val="center"/>
          </w:tcPr>
          <w:p w14:paraId="0FBBA5E3" w14:textId="77777777" w:rsidR="00BF3E31" w:rsidRPr="00264929" w:rsidRDefault="00BF3E31" w:rsidP="007C2202">
            <w:pPr>
              <w:jc w:val="center"/>
              <w:rPr>
                <w:bCs/>
              </w:rPr>
            </w:pPr>
            <w:r w:rsidRPr="00264929">
              <w:rPr>
                <w:bCs/>
              </w:rPr>
              <w:t>Source</w:t>
            </w:r>
          </w:p>
        </w:tc>
      </w:tr>
    </w:tbl>
    <w:p w14:paraId="681FDB3B" w14:textId="77777777" w:rsidR="00BF3E31" w:rsidRDefault="00BF3E31" w:rsidP="00BF3E31">
      <w:pPr>
        <w:pStyle w:val="Titre2"/>
        <w:spacing w:before="120"/>
        <w:rPr>
          <w:rFonts w:ascii="Arial" w:hAnsi="Arial"/>
          <w:noProof/>
        </w:rPr>
      </w:pPr>
      <w:r>
        <w:rPr>
          <w:rFonts w:ascii="Arial" w:hAnsi="Arial"/>
          <w:noProof/>
        </w:rPr>
        <w:t>L’entreprise</w:t>
      </w:r>
    </w:p>
    <w:p w14:paraId="292A4C7D" w14:textId="77777777" w:rsidR="00BF3E31" w:rsidRPr="00FF0CB6" w:rsidRDefault="00BF3E31" w:rsidP="00BF3E31">
      <w:pPr>
        <w:spacing w:before="120"/>
        <w:rPr>
          <w:lang w:eastAsia="fr-FR"/>
        </w:rPr>
      </w:pPr>
      <w:r w:rsidRPr="00FF0CB6">
        <w:rPr>
          <w:lang w:eastAsia="fr-FR"/>
        </w:rPr>
        <w:t xml:space="preserve">Fondée en 2016, </w:t>
      </w:r>
      <w:proofErr w:type="spellStart"/>
      <w:r>
        <w:rPr>
          <w:b/>
          <w:bCs/>
          <w:lang w:eastAsia="fr-FR"/>
        </w:rPr>
        <w:t>Greenova</w:t>
      </w:r>
      <w:proofErr w:type="spellEnd"/>
      <w:r w:rsidRPr="00FF0CB6">
        <w:rPr>
          <w:lang w:eastAsia="fr-FR"/>
        </w:rPr>
        <w:t xml:space="preserve"> s’impose comme une référence dans le domaine des produits d’entretien écologiques. Son ambition ? Proposer des solutions efficaces, saines et respectueuses de l’environnement pour les foyers et les entreprises.</w:t>
      </w:r>
      <w:r>
        <w:rPr>
          <w:lang w:eastAsia="fr-FR"/>
        </w:rPr>
        <w:t xml:space="preserve"> </w:t>
      </w:r>
      <w:r w:rsidRPr="00FF0CB6">
        <w:rPr>
          <w:lang w:eastAsia="fr-FR"/>
        </w:rPr>
        <w:t xml:space="preserve">En combinant </w:t>
      </w:r>
      <w:r w:rsidRPr="00FF0CB6">
        <w:rPr>
          <w:b/>
          <w:bCs/>
          <w:lang w:eastAsia="fr-FR"/>
        </w:rPr>
        <w:t>formules d’origine naturelle</w:t>
      </w:r>
      <w:r w:rsidRPr="00FF0CB6">
        <w:rPr>
          <w:lang w:eastAsia="fr-FR"/>
        </w:rPr>
        <w:t xml:space="preserve">, </w:t>
      </w:r>
      <w:r w:rsidRPr="00FF0CB6">
        <w:rPr>
          <w:b/>
          <w:bCs/>
          <w:lang w:eastAsia="fr-FR"/>
        </w:rPr>
        <w:t>emballages éco-conçus</w:t>
      </w:r>
      <w:r w:rsidRPr="00FF0CB6">
        <w:rPr>
          <w:lang w:eastAsia="fr-FR"/>
        </w:rPr>
        <w:t xml:space="preserve"> et </w:t>
      </w:r>
      <w:r w:rsidRPr="00FF0CB6">
        <w:rPr>
          <w:b/>
          <w:bCs/>
          <w:lang w:eastAsia="fr-FR"/>
        </w:rPr>
        <w:t>production locale</w:t>
      </w:r>
      <w:r w:rsidRPr="00FF0CB6">
        <w:rPr>
          <w:lang w:eastAsia="fr-FR"/>
        </w:rPr>
        <w:t>, l’entreprise développe une gamme complète de nettoyants pensés pour limiter l’impact environnemental tout en garantissant performance et sécurité.</w:t>
      </w:r>
    </w:p>
    <w:p w14:paraId="56C51A05" w14:textId="77777777" w:rsidR="00BF3E31" w:rsidRDefault="00BF3E31" w:rsidP="00BF3E31">
      <w:pPr>
        <w:spacing w:before="120"/>
        <w:rPr>
          <w:lang w:eastAsia="fr-FR"/>
        </w:rPr>
      </w:pPr>
      <w:r w:rsidRPr="00FF0CB6">
        <w:rPr>
          <w:lang w:eastAsia="fr-FR"/>
        </w:rPr>
        <w:t xml:space="preserve">Engagée dans une démarche responsable, </w:t>
      </w:r>
      <w:proofErr w:type="spellStart"/>
      <w:r>
        <w:rPr>
          <w:lang w:eastAsia="fr-FR"/>
        </w:rPr>
        <w:t>Greenova</w:t>
      </w:r>
      <w:proofErr w:type="spellEnd"/>
      <w:r w:rsidRPr="00FF0CB6">
        <w:rPr>
          <w:lang w:eastAsia="fr-FR"/>
        </w:rPr>
        <w:t xml:space="preserve"> privilégie les circuits courts, refuse les ingrédients controversés et mise sur la transparence : chaque produit affiche clairement sa composition et sa traçabilité, parfois même accessible via QR code.</w:t>
      </w:r>
    </w:p>
    <w:p w14:paraId="62841E03" w14:textId="77777777" w:rsidR="00BF3E31" w:rsidRDefault="00BF3E31" w:rsidP="00BF3E31">
      <w:pPr>
        <w:pStyle w:val="Titre2"/>
        <w:spacing w:before="120"/>
        <w:rPr>
          <w:rFonts w:ascii="Arial" w:hAnsi="Arial"/>
          <w:noProof/>
        </w:rPr>
      </w:pPr>
      <w:r w:rsidRPr="00EE29BA">
        <w:rPr>
          <w:rFonts w:ascii="Arial" w:hAnsi="Arial"/>
          <w:noProof/>
        </w:rPr>
        <w:t>Contexte professionnel</w:t>
      </w:r>
    </w:p>
    <w:p w14:paraId="01803E06" w14:textId="77777777" w:rsidR="00BF3E31" w:rsidRPr="00316EFD" w:rsidRDefault="00BF3E31" w:rsidP="00BF3E31">
      <w:r w:rsidRPr="00316EFD">
        <w:t>Depuis deux ans, l’entreprise constate un allongement régulier des délais de paiement de la part de certains clients qui ne respectent pas les échéances prévues dans les conditions générales de vente.</w:t>
      </w:r>
      <w:r>
        <w:t xml:space="preserve"> </w:t>
      </w:r>
      <w:r w:rsidRPr="00316EFD">
        <w:t>Parmi ces retards, une part croissante se traduit par des impayés non recouvrables : (6 000 € en N-1,</w:t>
      </w:r>
      <w:r>
        <w:t xml:space="preserve"> </w:t>
      </w:r>
      <w:r w:rsidRPr="00316EFD">
        <w:t>10 000 € cette année</w:t>
      </w:r>
      <w:r>
        <w:t>)</w:t>
      </w:r>
      <w:r w:rsidRPr="00316EFD">
        <w:t>.</w:t>
      </w:r>
      <w:r>
        <w:t xml:space="preserve"> </w:t>
      </w:r>
      <w:r w:rsidRPr="00316EFD">
        <w:t>Ces sommes représentent des pertes sèches pour l’entreprise, affectant directement sa trésorerie et sa rentabilité.</w:t>
      </w:r>
    </w:p>
    <w:p w14:paraId="2FD812FE" w14:textId="77777777" w:rsidR="00BF3E31" w:rsidRPr="00316EFD" w:rsidRDefault="00BF3E31" w:rsidP="00BF3E31">
      <w:pPr>
        <w:spacing w:before="120"/>
      </w:pPr>
      <w:r w:rsidRPr="00316EFD">
        <w:t>Une réunion regroupant le directeur général, le directeur commercial et le directeur administratif et financier a mis en évidence de graves lacunes dans le suivi des impayés :</w:t>
      </w:r>
    </w:p>
    <w:p w14:paraId="0F5D7790" w14:textId="77777777" w:rsidR="00BF3E31" w:rsidRPr="00316EFD" w:rsidRDefault="00BF3E31" w:rsidP="00BF3E31">
      <w:pPr>
        <w:pStyle w:val="Paragraphedeliste"/>
        <w:numPr>
          <w:ilvl w:val="0"/>
          <w:numId w:val="13"/>
        </w:numPr>
        <w:spacing w:before="60"/>
        <w:ind w:left="284" w:hanging="284"/>
      </w:pPr>
      <w:r w:rsidRPr="00316EFD">
        <w:t xml:space="preserve">Les relances sont </w:t>
      </w:r>
      <w:r w:rsidRPr="00316EFD">
        <w:rPr>
          <w:b/>
          <w:bCs/>
        </w:rPr>
        <w:t>irrégulières</w:t>
      </w:r>
      <w:r w:rsidRPr="00316EFD">
        <w:t xml:space="preserve"> et tardives.</w:t>
      </w:r>
    </w:p>
    <w:p w14:paraId="0FC093C3" w14:textId="77777777" w:rsidR="00BF3E31" w:rsidRPr="00316EFD" w:rsidRDefault="00BF3E31" w:rsidP="00BF3E31">
      <w:pPr>
        <w:pStyle w:val="Paragraphedeliste"/>
        <w:numPr>
          <w:ilvl w:val="0"/>
          <w:numId w:val="13"/>
        </w:numPr>
        <w:spacing w:before="60"/>
        <w:ind w:left="284" w:hanging="284"/>
      </w:pPr>
      <w:r w:rsidRPr="00316EFD">
        <w:t>Elles sont assurées de manière ponctuelle par trois personnes différentes (assistante comptable, assistante commerciale, attaché de gestion), uniquement lorsqu’elles disposent de temps libre, souvent en fin de mois.</w:t>
      </w:r>
    </w:p>
    <w:p w14:paraId="69F163C3" w14:textId="77777777" w:rsidR="00BF3E31" w:rsidRPr="00316EFD" w:rsidRDefault="00BF3E31" w:rsidP="00BF3E31">
      <w:pPr>
        <w:pStyle w:val="Paragraphedeliste"/>
        <w:numPr>
          <w:ilvl w:val="0"/>
          <w:numId w:val="13"/>
        </w:numPr>
        <w:spacing w:before="60"/>
        <w:ind w:left="284" w:hanging="284"/>
      </w:pPr>
      <w:r w:rsidRPr="00316EFD">
        <w:t>Les premières relances interviennent en moyenne 15 jours à 3 semaines après l’échéance impayée, ce qui retarde inutilement la procédure.</w:t>
      </w:r>
    </w:p>
    <w:p w14:paraId="6C8D0FB5" w14:textId="77777777" w:rsidR="00BF3E31" w:rsidRPr="00316EFD" w:rsidRDefault="00BF3E31" w:rsidP="00BF3E31">
      <w:pPr>
        <w:pStyle w:val="Paragraphedeliste"/>
        <w:numPr>
          <w:ilvl w:val="0"/>
          <w:numId w:val="13"/>
        </w:numPr>
        <w:spacing w:before="60"/>
        <w:ind w:left="284" w:hanging="284"/>
      </w:pPr>
      <w:r w:rsidRPr="00316EFD">
        <w:t>Il n’existe aucun modèle de courrier type ni de procédure graduée (courriel de rappel, lettre de relance, mise en demeure), ce qui entraîne une perte de temps et un manque de cohérence dans la communication avec les clients.</w:t>
      </w:r>
    </w:p>
    <w:p w14:paraId="7AA08F6E" w14:textId="77777777" w:rsidR="00BF3E31" w:rsidRPr="00316EFD" w:rsidRDefault="00BF3E31" w:rsidP="00BF3E31">
      <w:pPr>
        <w:spacing w:before="120"/>
        <w:rPr>
          <w:b/>
          <w:bCs/>
        </w:rPr>
      </w:pPr>
      <w:r w:rsidRPr="00316EFD">
        <w:rPr>
          <w:b/>
          <w:bCs/>
        </w:rPr>
        <w:t>Décision de la direction</w:t>
      </w:r>
    </w:p>
    <w:p w14:paraId="7CAB78C0" w14:textId="77777777" w:rsidR="00BF3E31" w:rsidRPr="00316EFD" w:rsidRDefault="00BF3E31" w:rsidP="00BF3E31">
      <w:pPr>
        <w:spacing w:before="120"/>
      </w:pPr>
      <w:r w:rsidRPr="00316EFD">
        <w:t>Le directeur général demande la mise en place :</w:t>
      </w:r>
    </w:p>
    <w:p w14:paraId="59445F73" w14:textId="6DD8D0BE" w:rsidR="00BF3E31" w:rsidRPr="00316EFD" w:rsidRDefault="005927CC" w:rsidP="00BF3E31">
      <w:pPr>
        <w:pStyle w:val="Paragraphedeliste"/>
        <w:numPr>
          <w:ilvl w:val="0"/>
          <w:numId w:val="14"/>
        </w:numPr>
        <w:ind w:left="284" w:hanging="284"/>
      </w:pPr>
      <w:proofErr w:type="gramStart"/>
      <w:r w:rsidRPr="005927CC">
        <w:t>d</w:t>
      </w:r>
      <w:r w:rsidR="00BF3E31" w:rsidRPr="005927CC">
        <w:t>’une</w:t>
      </w:r>
      <w:proofErr w:type="gramEnd"/>
      <w:r w:rsidR="00BF3E31" w:rsidRPr="005927CC">
        <w:t xml:space="preserve"> nouvelle organisation</w:t>
      </w:r>
      <w:r w:rsidR="00BF3E31" w:rsidRPr="00316EFD">
        <w:t xml:space="preserve"> et d’une procédure de relance claire, structurée et efficace, incluant un calendrier précis et des courriers types.</w:t>
      </w:r>
    </w:p>
    <w:p w14:paraId="2F0EA8CD" w14:textId="203E5AF6" w:rsidR="00BF3E31" w:rsidRPr="00316EFD" w:rsidRDefault="005927CC" w:rsidP="00BF3E31">
      <w:pPr>
        <w:pStyle w:val="Paragraphedeliste"/>
        <w:numPr>
          <w:ilvl w:val="0"/>
          <w:numId w:val="14"/>
        </w:numPr>
        <w:ind w:left="284" w:hanging="284"/>
      </w:pPr>
      <w:proofErr w:type="gramStart"/>
      <w:r w:rsidRPr="005927CC">
        <w:t>d</w:t>
      </w:r>
      <w:r w:rsidR="00BF3E31" w:rsidRPr="005927CC">
        <w:t>e</w:t>
      </w:r>
      <w:proofErr w:type="gramEnd"/>
      <w:r w:rsidR="00BF3E31" w:rsidRPr="005927CC">
        <w:t xml:space="preserve"> modèles de courriers gradués</w:t>
      </w:r>
      <w:r w:rsidR="00BF3E31" w:rsidRPr="00316EFD">
        <w:t>, prêts à l’emploi, en fonction du nombre de jours de retard.</w:t>
      </w:r>
    </w:p>
    <w:p w14:paraId="606E9B22" w14:textId="77777777" w:rsidR="00BF3E31" w:rsidRPr="00316EFD" w:rsidRDefault="00BF3E31" w:rsidP="00BF3E31">
      <w:pPr>
        <w:pStyle w:val="Paragraphedeliste"/>
        <w:numPr>
          <w:ilvl w:val="0"/>
          <w:numId w:val="14"/>
        </w:numPr>
        <w:ind w:left="284" w:hanging="284"/>
      </w:pPr>
      <w:r w:rsidRPr="00316EFD">
        <w:t xml:space="preserve">La transmission systématique des dossiers impayés sans réponse après relances internes au cabinet d’avocats </w:t>
      </w:r>
      <w:proofErr w:type="spellStart"/>
      <w:r w:rsidRPr="00316EFD">
        <w:t>Aptos</w:t>
      </w:r>
      <w:proofErr w:type="spellEnd"/>
      <w:r w:rsidRPr="00316EFD">
        <w:t xml:space="preserve">, chargé dorénavant du </w:t>
      </w:r>
      <w:r>
        <w:t xml:space="preserve">suivi des </w:t>
      </w:r>
      <w:r w:rsidRPr="00316EFD">
        <w:t>contentieux.</w:t>
      </w:r>
    </w:p>
    <w:p w14:paraId="0E425F51" w14:textId="77777777" w:rsidR="00BF3E31" w:rsidRDefault="00BF3E31" w:rsidP="00BF3E31"/>
    <w:p w14:paraId="234F527C" w14:textId="77777777" w:rsidR="00BF3E31" w:rsidRPr="00316EFD" w:rsidRDefault="00BF3E31" w:rsidP="00BF3E31">
      <w:pPr>
        <w:spacing w:after="120"/>
        <w:rPr>
          <w:b/>
          <w:bCs/>
          <w:sz w:val="24"/>
          <w:szCs w:val="28"/>
        </w:rPr>
      </w:pPr>
      <w:r w:rsidRPr="00316EFD">
        <w:rPr>
          <w:b/>
          <w:bCs/>
          <w:sz w:val="24"/>
          <w:szCs w:val="28"/>
        </w:rPr>
        <w:t>Travail à réaliser (à l’aide d’une IA)</w:t>
      </w:r>
    </w:p>
    <w:p w14:paraId="351C3165" w14:textId="77777777" w:rsidR="00BF3E31" w:rsidRPr="00501218" w:rsidRDefault="00BF3E31" w:rsidP="00BF3E31">
      <w:pPr>
        <w:pStyle w:val="Paragraphedeliste"/>
        <w:numPr>
          <w:ilvl w:val="0"/>
          <w:numId w:val="15"/>
        </w:numPr>
      </w:pPr>
      <w:r w:rsidRPr="00501218">
        <w:t>Propose</w:t>
      </w:r>
      <w:r>
        <w:t xml:space="preserve">z </w:t>
      </w:r>
      <w:r w:rsidRPr="00501218">
        <w:t>une nouvelle organisation et une procédure efficace avec un responsable unique du suivi des relances (service comptabilité ou gestion du risque client).</w:t>
      </w:r>
    </w:p>
    <w:p w14:paraId="159FBB12" w14:textId="77777777" w:rsidR="00BF3E31" w:rsidRPr="00501218" w:rsidRDefault="00BF3E31" w:rsidP="00BF3E31">
      <w:pPr>
        <w:pStyle w:val="Paragraphedeliste"/>
        <w:numPr>
          <w:ilvl w:val="0"/>
          <w:numId w:val="15"/>
        </w:numPr>
      </w:pPr>
      <w:r w:rsidRPr="00501218">
        <w:t>Rédige</w:t>
      </w:r>
      <w:r>
        <w:t>z</w:t>
      </w:r>
      <w:r w:rsidRPr="00501218">
        <w:t xml:space="preserve"> des courriers types gradués : (J+3 après échéance : rappel par </w:t>
      </w:r>
      <w:proofErr w:type="gramStart"/>
      <w:r w:rsidRPr="00501218">
        <w:t>e-mail</w:t>
      </w:r>
      <w:proofErr w:type="gramEnd"/>
      <w:r w:rsidRPr="00501218">
        <w:t xml:space="preserve"> ; J+10 : relance par courrier simple ; J+20 : lettre recommandée avec mise en demeure ; J+30 : transmission au cabinet d’avocats </w:t>
      </w:r>
      <w:proofErr w:type="spellStart"/>
      <w:r w:rsidRPr="00501218">
        <w:t>Aptos</w:t>
      </w:r>
      <w:proofErr w:type="spellEnd"/>
      <w:r w:rsidRPr="00501218">
        <w:t>).</w:t>
      </w:r>
    </w:p>
    <w:p w14:paraId="2BD8710A" w14:textId="77777777" w:rsidR="00BF3E31" w:rsidRPr="00501218" w:rsidRDefault="00BF3E31" w:rsidP="00BF3E31">
      <w:pPr>
        <w:pStyle w:val="Paragraphedeliste"/>
        <w:numPr>
          <w:ilvl w:val="0"/>
          <w:numId w:val="15"/>
        </w:numPr>
      </w:pPr>
      <w:r w:rsidRPr="00501218">
        <w:t>Rédige</w:t>
      </w:r>
      <w:r>
        <w:t>z</w:t>
      </w:r>
      <w:r w:rsidRPr="00501218">
        <w:t xml:space="preserve"> le courrier au cabinet d’avocats </w:t>
      </w:r>
      <w:proofErr w:type="spellStart"/>
      <w:r w:rsidRPr="00501218">
        <w:t>Aptos</w:t>
      </w:r>
      <w:proofErr w:type="spellEnd"/>
      <w:r w:rsidRPr="00501218">
        <w:t xml:space="preserve"> afin de les informer officiellement qu’ils ont désormais en charge la gestion des recouvrements contentieux.</w:t>
      </w:r>
    </w:p>
    <w:p w14:paraId="29755BC2" w14:textId="77777777" w:rsidR="00BF3E31" w:rsidRDefault="00BF3E31" w:rsidP="00BF3E31">
      <w:pPr>
        <w:rPr>
          <w:noProof/>
        </w:rPr>
      </w:pPr>
    </w:p>
    <w:p w14:paraId="164DF420" w14:textId="77777777" w:rsidR="00BF3E31" w:rsidRDefault="00BF3E31" w:rsidP="00BF3E31">
      <w:pPr>
        <w:rPr>
          <w:noProof/>
        </w:rPr>
      </w:pPr>
    </w:p>
    <w:p w14:paraId="479B3083" w14:textId="77777777" w:rsidR="00BF3E31" w:rsidRDefault="00BF3E31" w:rsidP="00BF3E31">
      <w:pPr>
        <w:rPr>
          <w:noProof/>
        </w:rPr>
      </w:pPr>
    </w:p>
    <w:p w14:paraId="562F7558" w14:textId="77777777" w:rsidR="009F75ED" w:rsidRPr="00BF3E31" w:rsidRDefault="009F75ED" w:rsidP="00BF3E31"/>
    <w:sectPr w:rsidR="009F75ED" w:rsidRPr="00BF3E31" w:rsidSect="004A1D9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C05"/>
    <w:multiLevelType w:val="hybridMultilevel"/>
    <w:tmpl w:val="56EC31E4"/>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037F"/>
    <w:multiLevelType w:val="multilevel"/>
    <w:tmpl w:val="EE247A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18593F94"/>
    <w:multiLevelType w:val="hybridMultilevel"/>
    <w:tmpl w:val="AE5EB682"/>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28B57FB"/>
    <w:multiLevelType w:val="hybridMultilevel"/>
    <w:tmpl w:val="F9165C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30B1B34"/>
    <w:multiLevelType w:val="hybridMultilevel"/>
    <w:tmpl w:val="9BFC7E04"/>
    <w:lvl w:ilvl="0" w:tplc="040C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E2F6F0F"/>
    <w:multiLevelType w:val="hybridMultilevel"/>
    <w:tmpl w:val="37F89A06"/>
    <w:lvl w:ilvl="0" w:tplc="6EC023EC">
      <w:start w:val="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EC2A0B"/>
    <w:multiLevelType w:val="hybridMultilevel"/>
    <w:tmpl w:val="5B4CEC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1145D76"/>
    <w:multiLevelType w:val="hybridMultilevel"/>
    <w:tmpl w:val="6444240C"/>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CF21500"/>
    <w:multiLevelType w:val="multilevel"/>
    <w:tmpl w:val="91E8E2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05D4B3B"/>
    <w:multiLevelType w:val="multilevel"/>
    <w:tmpl w:val="A232FE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0E94058"/>
    <w:multiLevelType w:val="hybridMultilevel"/>
    <w:tmpl w:val="56D81E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73973BF"/>
    <w:multiLevelType w:val="hybridMultilevel"/>
    <w:tmpl w:val="4EF222EE"/>
    <w:lvl w:ilvl="0" w:tplc="6EC023EC">
      <w:start w:val="11"/>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DAD0111"/>
    <w:multiLevelType w:val="multilevel"/>
    <w:tmpl w:val="CD74829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6519378F"/>
    <w:multiLevelType w:val="hybridMultilevel"/>
    <w:tmpl w:val="44FCF0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9995DCA"/>
    <w:multiLevelType w:val="hybridMultilevel"/>
    <w:tmpl w:val="D13C901E"/>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5244225">
    <w:abstractNumId w:val="14"/>
  </w:num>
  <w:num w:numId="2" w16cid:durableId="2043967939">
    <w:abstractNumId w:val="0"/>
  </w:num>
  <w:num w:numId="3" w16cid:durableId="506556569">
    <w:abstractNumId w:val="5"/>
  </w:num>
  <w:num w:numId="4" w16cid:durableId="1160854565">
    <w:abstractNumId w:val="10"/>
  </w:num>
  <w:num w:numId="5" w16cid:durableId="1831168676">
    <w:abstractNumId w:val="13"/>
  </w:num>
  <w:num w:numId="6" w16cid:durableId="845823511">
    <w:abstractNumId w:val="6"/>
  </w:num>
  <w:num w:numId="7" w16cid:durableId="1256748758">
    <w:abstractNumId w:val="9"/>
  </w:num>
  <w:num w:numId="8" w16cid:durableId="683283352">
    <w:abstractNumId w:val="8"/>
  </w:num>
  <w:num w:numId="9" w16cid:durableId="923221112">
    <w:abstractNumId w:val="2"/>
  </w:num>
  <w:num w:numId="10" w16cid:durableId="1947081336">
    <w:abstractNumId w:val="1"/>
  </w:num>
  <w:num w:numId="11" w16cid:durableId="1913270789">
    <w:abstractNumId w:val="3"/>
  </w:num>
  <w:num w:numId="12" w16cid:durableId="1261529131">
    <w:abstractNumId w:val="7"/>
  </w:num>
  <w:num w:numId="13" w16cid:durableId="1144274709">
    <w:abstractNumId w:val="4"/>
  </w:num>
  <w:num w:numId="14" w16cid:durableId="1163277893">
    <w:abstractNumId w:val="11"/>
  </w:num>
  <w:num w:numId="15" w16cid:durableId="1032311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9C"/>
    <w:rsid w:val="0003681B"/>
    <w:rsid w:val="001344F0"/>
    <w:rsid w:val="002D117D"/>
    <w:rsid w:val="003F477E"/>
    <w:rsid w:val="004A1D9C"/>
    <w:rsid w:val="005927CC"/>
    <w:rsid w:val="007C0AEA"/>
    <w:rsid w:val="009F4809"/>
    <w:rsid w:val="009F75ED"/>
    <w:rsid w:val="00B51AF2"/>
    <w:rsid w:val="00BF3E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C80D"/>
  <w15:chartTrackingRefBased/>
  <w15:docId w15:val="{B801C052-2A04-416E-A391-8DEB5F2F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9C"/>
    <w:pPr>
      <w:spacing w:after="0" w:line="240" w:lineRule="auto"/>
      <w:jc w:val="both"/>
    </w:pPr>
    <w:rPr>
      <w:rFonts w:ascii="Arial" w:eastAsia="Calibri" w:hAnsi="Arial" w:cs="Times New Roman"/>
      <w:sz w:val="20"/>
    </w:rPr>
  </w:style>
  <w:style w:type="paragraph" w:styleId="Titre2">
    <w:name w:val="heading 2"/>
    <w:basedOn w:val="Normal"/>
    <w:link w:val="Titre2Car"/>
    <w:uiPriority w:val="9"/>
    <w:qFormat/>
    <w:rsid w:val="004A1D9C"/>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A1D9C"/>
    <w:rPr>
      <w:rFonts w:ascii="Arial Black" w:eastAsia="Times New Roman" w:hAnsi="Arial Black" w:cs="Arial"/>
      <w:b/>
      <w:color w:val="000000"/>
      <w:sz w:val="24"/>
      <w:szCs w:val="20"/>
      <w:lang w:eastAsia="fr-FR"/>
    </w:rPr>
  </w:style>
  <w:style w:type="character" w:styleId="Lienhypertexte">
    <w:name w:val="Hyperlink"/>
    <w:uiPriority w:val="99"/>
    <w:unhideWhenUsed/>
    <w:rsid w:val="004A1D9C"/>
    <w:rPr>
      <w:color w:val="0000FF"/>
      <w:u w:val="single"/>
    </w:rPr>
  </w:style>
  <w:style w:type="paragraph" w:styleId="Paragraphedeliste">
    <w:name w:val="List Paragraph"/>
    <w:basedOn w:val="Normal"/>
    <w:uiPriority w:val="34"/>
    <w:qFormat/>
    <w:rsid w:val="004A1D9C"/>
    <w:pPr>
      <w:ind w:left="720"/>
      <w:contextualSpacing/>
    </w:pPr>
  </w:style>
  <w:style w:type="paragraph" w:styleId="NormalWeb">
    <w:name w:val="Normal (Web)"/>
    <w:basedOn w:val="Normal"/>
    <w:uiPriority w:val="99"/>
    <w:rsid w:val="0003681B"/>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03681B"/>
    <w:rPr>
      <w:b/>
      <w:bCs/>
    </w:rPr>
  </w:style>
  <w:style w:type="character" w:customStyle="1" w:styleId="field">
    <w:name w:val="field"/>
    <w:basedOn w:val="Policepardfaut"/>
    <w:rsid w:val="0003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485</Words>
  <Characters>2671</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2021-09-10T20:48:00Z</dcterms:created>
  <dcterms:modified xsi:type="dcterms:W3CDTF">2025-09-01T17:56:00Z</dcterms:modified>
</cp:coreProperties>
</file>