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87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986"/>
        <w:gridCol w:w="850"/>
        <w:gridCol w:w="1113"/>
        <w:gridCol w:w="728"/>
        <w:gridCol w:w="10"/>
      </w:tblGrid>
      <w:tr w:rsidR="00A51660" w:rsidRPr="00111134" w14:paraId="5F0F784E" w14:textId="77777777" w:rsidTr="002C0819">
        <w:tc>
          <w:tcPr>
            <w:tcW w:w="9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97FB989" w14:textId="77777777" w:rsidR="00A51660" w:rsidRPr="00111134" w:rsidRDefault="00A51660" w:rsidP="002C0819">
            <w:pPr>
              <w:pStyle w:val="Titre1"/>
              <w:spacing w:before="120"/>
              <w:jc w:val="center"/>
              <w:outlineLvl w:val="0"/>
              <w:rPr>
                <w:rFonts w:cs="Arial"/>
                <w:b w:val="0"/>
                <w:bCs/>
              </w:rPr>
            </w:pPr>
            <w:r w:rsidRPr="00111134">
              <w:rPr>
                <w:rFonts w:cs="Arial"/>
                <w:bCs/>
                <w:lang w:eastAsia="en-US"/>
              </w:rPr>
              <w:t xml:space="preserve">Chapitre 6 : </w:t>
            </w:r>
            <w:r w:rsidRPr="00111134">
              <w:rPr>
                <w:rFonts w:cs="Arial"/>
                <w:bCs/>
              </w:rPr>
              <w:t>Évaluer le risque clients</w:t>
            </w:r>
          </w:p>
          <w:p w14:paraId="73FD7F74" w14:textId="77777777" w:rsidR="00A51660" w:rsidRPr="00111134" w:rsidRDefault="00A51660" w:rsidP="002C0819">
            <w:pPr>
              <w:pStyle w:val="Titre1"/>
              <w:jc w:val="center"/>
              <w:outlineLvl w:val="0"/>
              <w:rPr>
                <w:rFonts w:cs="Arial"/>
                <w:b w:val="0"/>
                <w:bCs/>
                <w:lang w:eastAsia="en-US"/>
              </w:rPr>
            </w:pPr>
            <w:r w:rsidRPr="00111134">
              <w:rPr>
                <w:rFonts w:cs="Arial"/>
                <w:bCs/>
                <w:lang w:eastAsia="en-US"/>
              </w:rPr>
              <w:t>Bilan de compétence</w:t>
            </w:r>
          </w:p>
        </w:tc>
      </w:tr>
      <w:tr w:rsidR="00A51660" w14:paraId="2AC97D29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872937" w14:textId="77777777" w:rsidR="00A51660" w:rsidRDefault="00A51660" w:rsidP="002C0819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451DDD" w14:textId="77777777" w:rsidR="00A51660" w:rsidRDefault="00A51660" w:rsidP="002C081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09977CEF" w14:textId="77777777" w:rsidR="00A51660" w:rsidRDefault="00A51660" w:rsidP="002C081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A0818B" w14:textId="77777777" w:rsidR="00A51660" w:rsidRDefault="00A51660" w:rsidP="002C081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0F966520" w14:textId="77777777" w:rsidR="00A51660" w:rsidRDefault="00A51660" w:rsidP="002C081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B235DF" w14:textId="77777777" w:rsidR="00A51660" w:rsidRDefault="00A51660" w:rsidP="002C081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A51660" w14:paraId="7E0EA6AD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CDF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où collecter des informations sur les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theme="minorHAnsi"/>
                  <w:sz w:val="24"/>
                </w:rPr>
                <w:id w:val="4749595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9E9BB8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theme="minorHAnsi"/>
                  <w:sz w:val="24"/>
                </w:rPr>
                <w:id w:val="19673097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C8D157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theme="minorHAnsi"/>
                  <w:sz w:val="24"/>
                </w:rPr>
                <w:id w:val="-611894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13B4DF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42D11ABE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89F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analyser le bilan d’un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530803"/>
          </w:sdtPr>
          <w:sdtContent>
            <w:sdt>
              <w:sdtPr>
                <w:rPr>
                  <w:rFonts w:cstheme="minorHAnsi"/>
                  <w:sz w:val="24"/>
                </w:rPr>
                <w:id w:val="7302671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AC1348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75315721"/>
          </w:sdtPr>
          <w:sdtContent>
            <w:sdt>
              <w:sdtPr>
                <w:rPr>
                  <w:rFonts w:cstheme="minorHAnsi"/>
                  <w:sz w:val="24"/>
                </w:rPr>
                <w:id w:val="20697651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6CA1D9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30132834"/>
          </w:sdtPr>
          <w:sdtContent>
            <w:sdt>
              <w:sdtPr>
                <w:rPr>
                  <w:rFonts w:cstheme="minorHAnsi"/>
                  <w:sz w:val="24"/>
                </w:rPr>
                <w:id w:val="-116253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89E2DE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39E94ADF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B86C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évaluer la solvabilité d’un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theme="minorHAnsi"/>
                  <w:sz w:val="24"/>
                </w:rPr>
                <w:id w:val="9344725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DEF96D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theme="minorHAnsi"/>
                  <w:sz w:val="24"/>
                </w:rPr>
                <w:id w:val="-2072028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139D8B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theme="minorHAnsi"/>
                  <w:sz w:val="24"/>
                </w:rPr>
                <w:id w:val="14636099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8FBA43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77A915BD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F22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calculer un fond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6961147"/>
          </w:sdtPr>
          <w:sdtContent>
            <w:sdt>
              <w:sdtPr>
                <w:rPr>
                  <w:rFonts w:cstheme="minorHAnsi"/>
                  <w:sz w:val="24"/>
                </w:rPr>
                <w:id w:val="3585612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B93830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64581598"/>
          </w:sdtPr>
          <w:sdtContent>
            <w:sdt>
              <w:sdtPr>
                <w:rPr>
                  <w:rFonts w:cstheme="minorHAnsi"/>
                  <w:sz w:val="24"/>
                </w:rPr>
                <w:id w:val="-1040509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AD654C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49355701"/>
          </w:sdtPr>
          <w:sdtContent>
            <w:sdt>
              <w:sdtPr>
                <w:rPr>
                  <w:rFonts w:cstheme="minorHAnsi"/>
                  <w:sz w:val="24"/>
                </w:rPr>
                <w:id w:val="-16488854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1408FA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0C59BB24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955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calculer un besoin en fonds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2229069"/>
          </w:sdtPr>
          <w:sdtContent>
            <w:sdt>
              <w:sdtPr>
                <w:rPr>
                  <w:rFonts w:cstheme="minorHAnsi"/>
                  <w:sz w:val="24"/>
                </w:rPr>
                <w:id w:val="2352889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710D85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0937301"/>
          </w:sdtPr>
          <w:sdtContent>
            <w:sdt>
              <w:sdtPr>
                <w:rPr>
                  <w:rFonts w:cstheme="minorHAnsi"/>
                  <w:sz w:val="24"/>
                </w:rPr>
                <w:id w:val="4232256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206069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81765565"/>
          </w:sdtPr>
          <w:sdtContent>
            <w:sdt>
              <w:sdtPr>
                <w:rPr>
                  <w:rFonts w:cstheme="minorHAnsi"/>
                  <w:sz w:val="24"/>
                </w:rPr>
                <w:id w:val="-5213910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1F85B9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721A3132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F8A4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interpréter un fond de roulement et un besoin en fonds de roulement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2015224"/>
          </w:sdtPr>
          <w:sdtContent>
            <w:sdt>
              <w:sdtPr>
                <w:rPr>
                  <w:rFonts w:cstheme="minorHAnsi"/>
                  <w:sz w:val="24"/>
                </w:rPr>
                <w:id w:val="150422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8B9DFF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25230215"/>
          </w:sdtPr>
          <w:sdtContent>
            <w:sdt>
              <w:sdtPr>
                <w:rPr>
                  <w:rFonts w:cstheme="minorHAnsi"/>
                  <w:sz w:val="24"/>
                </w:rPr>
                <w:id w:val="20857914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390120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16223835"/>
          </w:sdtPr>
          <w:sdtContent>
            <w:sdt>
              <w:sdtPr>
                <w:rPr>
                  <w:rFonts w:cstheme="minorHAnsi"/>
                  <w:sz w:val="24"/>
                </w:rPr>
                <w:id w:val="2625787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ECF905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122AFC5F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915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calculer le coût d’un impayé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  <w:sz w:val="24"/>
                </w:rPr>
                <w:id w:val="1927441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40C673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  <w:sz w:val="24"/>
                </w:rPr>
                <w:id w:val="2282768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0A124D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  <w:sz w:val="24"/>
                </w:rPr>
                <w:id w:val="1726874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6CFCCD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26F84052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F52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clauses des contrats destinées à réduire les 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6695758"/>
          </w:sdtPr>
          <w:sdtContent>
            <w:sdt>
              <w:sdtPr>
                <w:rPr>
                  <w:rFonts w:cstheme="minorHAnsi"/>
                  <w:sz w:val="24"/>
                </w:rPr>
                <w:id w:val="15161893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270936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58153872"/>
          </w:sdtPr>
          <w:sdtContent>
            <w:sdt>
              <w:sdtPr>
                <w:rPr>
                  <w:rFonts w:cstheme="minorHAnsi"/>
                  <w:sz w:val="24"/>
                </w:rPr>
                <w:id w:val="-1476906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99674F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9871106"/>
          </w:sdtPr>
          <w:sdtContent>
            <w:sdt>
              <w:sdtPr>
                <w:rPr>
                  <w:rFonts w:cstheme="minorHAnsi"/>
                  <w:sz w:val="24"/>
                </w:rPr>
                <w:id w:val="-20876073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1D23EF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0AD0EA06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61FB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définir ce qu’est l’affacturage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356943"/>
          </w:sdtPr>
          <w:sdtContent>
            <w:sdt>
              <w:sdtPr>
                <w:rPr>
                  <w:rFonts w:cstheme="minorHAnsi"/>
                  <w:sz w:val="24"/>
                </w:rPr>
                <w:id w:val="-1475059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63AC01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4566467"/>
          </w:sdtPr>
          <w:sdtContent>
            <w:sdt>
              <w:sdtPr>
                <w:rPr>
                  <w:rFonts w:cstheme="minorHAnsi"/>
                  <w:sz w:val="24"/>
                </w:rPr>
                <w:id w:val="3552433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CA89B0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64323"/>
          </w:sdtPr>
          <w:sdtContent>
            <w:sdt>
              <w:sdtPr>
                <w:rPr>
                  <w:rFonts w:cstheme="minorHAnsi"/>
                  <w:sz w:val="24"/>
                </w:rPr>
                <w:id w:val="1805039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111148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7BE5FFD4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AD1E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une assurance-crédit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3194981"/>
          </w:sdtPr>
          <w:sdtContent>
            <w:sdt>
              <w:sdtPr>
                <w:rPr>
                  <w:rFonts w:cstheme="minorHAnsi"/>
                  <w:sz w:val="24"/>
                </w:rPr>
                <w:id w:val="1304430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340F92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9758958"/>
          </w:sdtPr>
          <w:sdtContent>
            <w:sdt>
              <w:sdtPr>
                <w:rPr>
                  <w:rFonts w:cstheme="minorHAnsi"/>
                  <w:sz w:val="24"/>
                </w:rPr>
                <w:id w:val="1490332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462C4E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85273"/>
          </w:sdtPr>
          <w:sdtContent>
            <w:sdt>
              <w:sdtPr>
                <w:rPr>
                  <w:rFonts w:cstheme="minorHAnsi"/>
                  <w:sz w:val="24"/>
                </w:rPr>
                <w:id w:val="21224095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1E8521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0B63406D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54BD" w14:textId="77777777" w:rsidR="00A51660" w:rsidRPr="00834506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que sont les sociétés de notation d’entreprise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250577"/>
          </w:sdtPr>
          <w:sdtContent>
            <w:sdt>
              <w:sdtPr>
                <w:rPr>
                  <w:rFonts w:cstheme="minorHAnsi"/>
                  <w:sz w:val="24"/>
                </w:rPr>
                <w:id w:val="-18186396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839FB6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0927598"/>
          </w:sdtPr>
          <w:sdtContent>
            <w:sdt>
              <w:sdtPr>
                <w:rPr>
                  <w:rFonts w:cstheme="minorHAnsi"/>
                  <w:sz w:val="24"/>
                </w:rPr>
                <w:id w:val="-1109739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930D24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2327665"/>
          </w:sdtPr>
          <w:sdtContent>
            <w:sdt>
              <w:sdtPr>
                <w:rPr>
                  <w:rFonts w:cstheme="minorHAnsi"/>
                  <w:sz w:val="24"/>
                </w:rPr>
                <w:id w:val="-1223905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6BFA04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11293286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852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calculer le coût de l’affacturage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229155"/>
          </w:sdtPr>
          <w:sdtContent>
            <w:sdt>
              <w:sdtPr>
                <w:rPr>
                  <w:rFonts w:cstheme="minorHAnsi"/>
                  <w:sz w:val="24"/>
                </w:rPr>
                <w:id w:val="-15109023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0270DE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9657463"/>
          </w:sdtPr>
          <w:sdtContent>
            <w:sdt>
              <w:sdtPr>
                <w:rPr>
                  <w:rFonts w:cstheme="minorHAnsi"/>
                  <w:sz w:val="24"/>
                </w:rPr>
                <w:id w:val="1245537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B0D0E2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0541605"/>
          </w:sdtPr>
          <w:sdtContent>
            <w:sdt>
              <w:sdtPr>
                <w:rPr>
                  <w:rFonts w:cstheme="minorHAnsi"/>
                  <w:sz w:val="24"/>
                </w:rPr>
                <w:id w:val="-6014074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4A5EF3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7EE5B816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F287" w14:textId="77777777" w:rsidR="00A51660" w:rsidRPr="00834506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calculer le cout de l’assurance-crédit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7097732"/>
          </w:sdtPr>
          <w:sdtContent>
            <w:sdt>
              <w:sdtPr>
                <w:rPr>
                  <w:rFonts w:cstheme="minorHAnsi"/>
                  <w:sz w:val="24"/>
                </w:rPr>
                <w:id w:val="18480454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FC198F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5610718"/>
          </w:sdtPr>
          <w:sdtContent>
            <w:sdt>
              <w:sdtPr>
                <w:rPr>
                  <w:rFonts w:cstheme="minorHAnsi"/>
                  <w:sz w:val="24"/>
                </w:rPr>
                <w:id w:val="-4034569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6D47CF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7405556"/>
          </w:sdtPr>
          <w:sdtContent>
            <w:sdt>
              <w:sdtPr>
                <w:rPr>
                  <w:rFonts w:cstheme="minorHAnsi"/>
                  <w:sz w:val="24"/>
                </w:rPr>
                <w:id w:val="8164649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68A744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5665FD82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2C5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comparer des solutions de couverture de 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1244665"/>
          </w:sdtPr>
          <w:sdtContent>
            <w:sdt>
              <w:sdtPr>
                <w:rPr>
                  <w:rFonts w:cstheme="minorHAnsi"/>
                  <w:sz w:val="24"/>
                </w:rPr>
                <w:id w:val="-16939902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46C64B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24267297"/>
          </w:sdtPr>
          <w:sdtContent>
            <w:sdt>
              <w:sdtPr>
                <w:rPr>
                  <w:rFonts w:cstheme="minorHAnsi"/>
                  <w:sz w:val="24"/>
                </w:rPr>
                <w:id w:val="-2045640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320635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2085094"/>
          </w:sdtPr>
          <w:sdtContent>
            <w:sdt>
              <w:sdtPr>
                <w:rPr>
                  <w:rFonts w:cstheme="minorHAnsi"/>
                  <w:sz w:val="24"/>
                </w:rPr>
                <w:id w:val="-16638449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250CBA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1660" w14:paraId="5087840E" w14:textId="77777777" w:rsidTr="002C0819">
        <w:trPr>
          <w:gridAfter w:val="1"/>
          <w:wAfter w:w="10" w:type="dxa"/>
        </w:trPr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3813" w14:textId="77777777" w:rsidR="00A51660" w:rsidRDefault="00A51660" w:rsidP="002C081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mettre en place une procédure de suivi des 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7624943"/>
          </w:sdtPr>
          <w:sdtContent>
            <w:sdt>
              <w:sdtPr>
                <w:rPr>
                  <w:rFonts w:cstheme="minorHAnsi"/>
                  <w:sz w:val="24"/>
                </w:rPr>
                <w:id w:val="-8440858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62EE32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68918167"/>
          </w:sdtPr>
          <w:sdtContent>
            <w:sdt>
              <w:sdtPr>
                <w:rPr>
                  <w:rFonts w:cstheme="minorHAnsi"/>
                  <w:sz w:val="24"/>
                </w:rPr>
                <w:id w:val="-1872141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58BDF8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4672881"/>
          </w:sdtPr>
          <w:sdtContent>
            <w:sdt>
              <w:sdtPr>
                <w:rPr>
                  <w:rFonts w:cstheme="minorHAnsi"/>
                  <w:sz w:val="24"/>
                </w:rPr>
                <w:id w:val="-144299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7CA9B6" w14:textId="77777777" w:rsidR="00A51660" w:rsidRDefault="00A51660" w:rsidP="002C081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79E1FE39" w14:textId="77777777" w:rsidR="00A51660" w:rsidRDefault="00A51660" w:rsidP="00A51660">
      <w:pPr>
        <w:pStyle w:val="NormalWeb"/>
        <w:spacing w:before="0" w:beforeAutospacing="0" w:after="0" w:afterAutospacing="0"/>
        <w:rPr>
          <w:color w:val="000000"/>
        </w:rPr>
      </w:pPr>
    </w:p>
    <w:p w14:paraId="0F5347C8" w14:textId="77777777" w:rsidR="00D3399C" w:rsidRPr="00A51660" w:rsidRDefault="00D3399C" w:rsidP="00A51660"/>
    <w:sectPr w:rsidR="00D3399C" w:rsidRPr="00A51660" w:rsidSect="00A51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737" w:left="1134" w:header="425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43E2" w14:textId="77777777" w:rsidR="004637C7" w:rsidRDefault="004637C7">
      <w:r>
        <w:separator/>
      </w:r>
    </w:p>
  </w:endnote>
  <w:endnote w:type="continuationSeparator" w:id="0">
    <w:p w14:paraId="20C7A9E6" w14:textId="77777777" w:rsidR="004637C7" w:rsidRDefault="0046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D33E" w14:textId="77777777" w:rsidR="00771BCE" w:rsidRDefault="00771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213C" w14:textId="77777777" w:rsidR="00771BCE" w:rsidRDefault="00771B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9CD4" w14:textId="77777777" w:rsidR="00771BCE" w:rsidRDefault="00771B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5592" w14:textId="77777777" w:rsidR="004637C7" w:rsidRDefault="004637C7">
      <w:r>
        <w:separator/>
      </w:r>
    </w:p>
  </w:footnote>
  <w:footnote w:type="continuationSeparator" w:id="0">
    <w:p w14:paraId="7AC0A159" w14:textId="77777777" w:rsidR="004637C7" w:rsidRDefault="0046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3A4A" w14:textId="77777777" w:rsidR="00771BCE" w:rsidRDefault="00771B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BD54" w14:textId="77777777" w:rsidR="00CF25E1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1760" w14:textId="77777777" w:rsidR="00771BCE" w:rsidRDefault="00771B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9C"/>
    <w:rsid w:val="000A2758"/>
    <w:rsid w:val="002A23B0"/>
    <w:rsid w:val="004637C7"/>
    <w:rsid w:val="004C1B48"/>
    <w:rsid w:val="004F06CE"/>
    <w:rsid w:val="00771BCE"/>
    <w:rsid w:val="00895B2D"/>
    <w:rsid w:val="008B0783"/>
    <w:rsid w:val="009E0413"/>
    <w:rsid w:val="00A51660"/>
    <w:rsid w:val="00B239FD"/>
    <w:rsid w:val="00B5561A"/>
    <w:rsid w:val="00C06880"/>
    <w:rsid w:val="00C70146"/>
    <w:rsid w:val="00C93589"/>
    <w:rsid w:val="00CE7191"/>
    <w:rsid w:val="00D3399C"/>
    <w:rsid w:val="00DB26CA"/>
    <w:rsid w:val="00E323C8"/>
    <w:rsid w:val="00F44279"/>
    <w:rsid w:val="00F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A22"/>
  <w15:chartTrackingRefBased/>
  <w15:docId w15:val="{F2593943-AFAF-45C0-B7F6-5FD58C0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9C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titre2eurasment"/>
    <w:next w:val="Normal"/>
    <w:link w:val="Titre1Car"/>
    <w:uiPriority w:val="9"/>
    <w:qFormat/>
    <w:rsid w:val="00D3399C"/>
    <w:pPr>
      <w:spacing w:after="120"/>
      <w:outlineLvl w:val="0"/>
    </w:pPr>
    <w:rPr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99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En-tte">
    <w:name w:val="header"/>
    <w:basedOn w:val="Normal"/>
    <w:link w:val="En-tteCar"/>
    <w:rsid w:val="00D3399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D3399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D3399C"/>
    <w:rPr>
      <w:rFonts w:eastAsia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D339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D3399C"/>
  </w:style>
  <w:style w:type="table" w:styleId="Grilledutableau">
    <w:name w:val="Table Grid"/>
    <w:basedOn w:val="TableauNormal"/>
    <w:uiPriority w:val="59"/>
    <w:rsid w:val="00D339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D3399C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1B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1BCE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2015-11-03T10:12:00Z</dcterms:created>
  <dcterms:modified xsi:type="dcterms:W3CDTF">2023-01-21T20:26:00Z</dcterms:modified>
</cp:coreProperties>
</file>