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13"/>
        <w:gridCol w:w="6520"/>
        <w:gridCol w:w="851"/>
        <w:gridCol w:w="1134"/>
      </w:tblGrid>
      <w:tr w:rsidR="006F486E" w:rsidRPr="00C22356" w14:paraId="1060DCCC" w14:textId="77777777" w:rsidTr="005804B8">
        <w:trPr>
          <w:trHeight w:val="386"/>
        </w:trPr>
        <w:tc>
          <w:tcPr>
            <w:tcW w:w="9918" w:type="dxa"/>
            <w:gridSpan w:val="4"/>
            <w:shd w:val="clear" w:color="auto" w:fill="FFFF00"/>
          </w:tcPr>
          <w:p w14:paraId="2A4767AB" w14:textId="77777777" w:rsidR="006F486E" w:rsidRPr="00956391" w:rsidRDefault="006F486E" w:rsidP="005804B8">
            <w:pPr>
              <w:pStyle w:val="Titre2"/>
              <w:spacing w:before="120"/>
              <w:jc w:val="center"/>
              <w:rPr>
                <w:rFonts w:ascii="Arial" w:hAnsi="Arial"/>
                <w:sz w:val="28"/>
                <w:szCs w:val="22"/>
              </w:rPr>
            </w:pPr>
            <w:r w:rsidRPr="00956391">
              <w:rPr>
                <w:rFonts w:ascii="Arial" w:hAnsi="Arial"/>
                <w:sz w:val="28"/>
                <w:szCs w:val="22"/>
              </w:rPr>
              <w:t xml:space="preserve">Réflexion </w:t>
            </w:r>
            <w:r>
              <w:rPr>
                <w:rFonts w:ascii="Arial" w:hAnsi="Arial"/>
                <w:sz w:val="28"/>
                <w:szCs w:val="22"/>
              </w:rPr>
              <w:t>5</w:t>
            </w:r>
            <w:r w:rsidRPr="00956391">
              <w:rPr>
                <w:rFonts w:ascii="Arial" w:hAnsi="Arial"/>
                <w:sz w:val="28"/>
                <w:szCs w:val="22"/>
              </w:rPr>
              <w:t xml:space="preserve"> </w:t>
            </w:r>
            <w:r>
              <w:rPr>
                <w:rFonts w:ascii="Arial" w:hAnsi="Arial"/>
                <w:sz w:val="28"/>
                <w:szCs w:val="22"/>
              </w:rPr>
              <w:t>–</w:t>
            </w:r>
            <w:r w:rsidRPr="00956391">
              <w:rPr>
                <w:rFonts w:ascii="Arial" w:hAnsi="Arial"/>
                <w:sz w:val="28"/>
                <w:szCs w:val="22"/>
              </w:rPr>
              <w:t xml:space="preserve"> </w:t>
            </w:r>
            <w:r>
              <w:rPr>
                <w:rFonts w:ascii="Arial" w:hAnsi="Arial"/>
                <w:sz w:val="28"/>
                <w:szCs w:val="22"/>
              </w:rPr>
              <w:t>Comprendre le passage à la facture électronique</w:t>
            </w:r>
          </w:p>
        </w:tc>
      </w:tr>
      <w:tr w:rsidR="006F486E" w:rsidRPr="00956391" w14:paraId="5209A810" w14:textId="77777777" w:rsidTr="005804B8">
        <w:trPr>
          <w:trHeight w:val="267"/>
        </w:trPr>
        <w:tc>
          <w:tcPr>
            <w:tcW w:w="1413" w:type="dxa"/>
            <w:shd w:val="clear" w:color="auto" w:fill="FFFF00"/>
            <w:vAlign w:val="center"/>
          </w:tcPr>
          <w:p w14:paraId="6F034823" w14:textId="77777777" w:rsidR="006F486E" w:rsidRPr="00956391" w:rsidRDefault="006F486E" w:rsidP="005804B8">
            <w:pPr>
              <w:rPr>
                <w:bCs/>
              </w:rPr>
            </w:pPr>
            <w:r w:rsidRPr="00956391">
              <w:rPr>
                <w:bCs/>
              </w:rPr>
              <w:t xml:space="preserve">Durée : </w:t>
            </w:r>
            <w:r>
              <w:rPr>
                <w:bCs/>
              </w:rPr>
              <w:t>20</w:t>
            </w:r>
            <w:r w:rsidRPr="00956391">
              <w:rPr>
                <w:bCs/>
              </w:rPr>
              <w:t>’</w:t>
            </w:r>
          </w:p>
        </w:tc>
        <w:tc>
          <w:tcPr>
            <w:tcW w:w="6520" w:type="dxa"/>
            <w:shd w:val="clear" w:color="auto" w:fill="FFFF00"/>
            <w:vAlign w:val="center"/>
          </w:tcPr>
          <w:p w14:paraId="6BF3523C" w14:textId="77777777" w:rsidR="006F486E" w:rsidRPr="00956391" w:rsidRDefault="006F486E" w:rsidP="005804B8">
            <w:pPr>
              <w:jc w:val="center"/>
              <w:rPr>
                <w:bCs/>
              </w:rPr>
            </w:pPr>
            <w:r w:rsidRPr="00956391">
              <w:rPr>
                <w:bCs/>
                <w:noProof/>
              </w:rPr>
              <w:drawing>
                <wp:inline distT="0" distB="0" distL="0" distR="0" wp14:anchorId="4DD50A0A" wp14:editId="00EF066A">
                  <wp:extent cx="324000" cy="324000"/>
                  <wp:effectExtent l="0" t="0" r="0" b="0"/>
                  <wp:docPr id="347603149" name="Graphique 347603149"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sidRPr="00956391">
              <w:rPr>
                <w:bCs/>
              </w:rPr>
              <w:t>ou</w:t>
            </w:r>
            <w:proofErr w:type="gramEnd"/>
            <w:r w:rsidRPr="00956391">
              <w:rPr>
                <w:bCs/>
              </w:rPr>
              <w:t xml:space="preserve"> </w:t>
            </w:r>
            <w:r w:rsidRPr="00956391">
              <w:rPr>
                <w:bCs/>
                <w:noProof/>
              </w:rPr>
              <w:drawing>
                <wp:inline distT="0" distB="0" distL="0" distR="0" wp14:anchorId="6CD5CFBF" wp14:editId="618FB7EA">
                  <wp:extent cx="360000" cy="360000"/>
                  <wp:effectExtent l="0" t="0" r="0" b="2540"/>
                  <wp:docPr id="1195047731" name="Graphique 1195047731"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1" w:type="dxa"/>
            <w:shd w:val="clear" w:color="auto" w:fill="FFFF00"/>
            <w:vAlign w:val="center"/>
          </w:tcPr>
          <w:p w14:paraId="70A6BACF" w14:textId="77777777" w:rsidR="006F486E" w:rsidRPr="00956391" w:rsidRDefault="006F486E" w:rsidP="005804B8">
            <w:pPr>
              <w:jc w:val="center"/>
              <w:rPr>
                <w:bCs/>
              </w:rPr>
            </w:pPr>
            <w:r>
              <w:rPr>
                <w:bCs/>
                <w:noProof/>
              </w:rPr>
              <w:drawing>
                <wp:inline distT="0" distB="0" distL="0" distR="0" wp14:anchorId="618F762E" wp14:editId="52B95C7E">
                  <wp:extent cx="362802" cy="360000"/>
                  <wp:effectExtent l="0" t="0" r="0" b="2540"/>
                  <wp:docPr id="843025097" name="Image 1"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25097" name="Image 1" descr="Une image contenant texte, symbol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802" cy="360000"/>
                          </a:xfrm>
                          <a:prstGeom prst="rect">
                            <a:avLst/>
                          </a:prstGeom>
                        </pic:spPr>
                      </pic:pic>
                    </a:graphicData>
                  </a:graphic>
                </wp:inline>
              </w:drawing>
            </w:r>
          </w:p>
        </w:tc>
        <w:tc>
          <w:tcPr>
            <w:tcW w:w="1134" w:type="dxa"/>
            <w:shd w:val="clear" w:color="auto" w:fill="FFFF00"/>
            <w:vAlign w:val="center"/>
          </w:tcPr>
          <w:p w14:paraId="47599082" w14:textId="77777777" w:rsidR="006F486E" w:rsidRPr="00956391" w:rsidRDefault="006F486E" w:rsidP="005804B8">
            <w:pPr>
              <w:jc w:val="center"/>
              <w:rPr>
                <w:bCs/>
                <w:i/>
              </w:rPr>
            </w:pPr>
            <w:r w:rsidRPr="00956391">
              <w:rPr>
                <w:bCs/>
              </w:rPr>
              <w:t>Source</w:t>
            </w:r>
          </w:p>
        </w:tc>
      </w:tr>
    </w:tbl>
    <w:p w14:paraId="578149AC" w14:textId="77777777" w:rsidR="006F486E" w:rsidRPr="00164C7D" w:rsidRDefault="006F486E" w:rsidP="006F486E">
      <w:pPr>
        <w:tabs>
          <w:tab w:val="left" w:pos="144"/>
          <w:tab w:val="left" w:pos="864"/>
          <w:tab w:val="left" w:pos="1584"/>
          <w:tab w:val="left" w:pos="2304"/>
          <w:tab w:val="left" w:pos="3024"/>
          <w:tab w:val="left" w:pos="3744"/>
          <w:tab w:val="left" w:pos="4464"/>
          <w:tab w:val="left" w:pos="5184"/>
          <w:tab w:val="left" w:pos="5904"/>
          <w:tab w:val="left" w:pos="6624"/>
        </w:tabs>
        <w:spacing w:before="120" w:after="120"/>
        <w:jc w:val="both"/>
        <w:rPr>
          <w:rFonts w:cs="Arial"/>
          <w:sz w:val="24"/>
        </w:rPr>
      </w:pPr>
      <w:r w:rsidRPr="00164C7D">
        <w:rPr>
          <w:rFonts w:cs="Arial"/>
          <w:b/>
          <w:sz w:val="24"/>
        </w:rPr>
        <w:t>Travail à faire</w:t>
      </w:r>
    </w:p>
    <w:p w14:paraId="15F43FDA" w14:textId="77777777" w:rsidR="006F486E" w:rsidRDefault="006F486E" w:rsidP="006F486E">
      <w:pPr>
        <w:pStyle w:val="tacheseurasment"/>
        <w:spacing w:after="120"/>
        <w:rPr>
          <w:rFonts w:cs="Arial"/>
          <w:bCs/>
          <w:color w:val="000000"/>
          <w:szCs w:val="20"/>
        </w:rPr>
      </w:pPr>
      <w:r>
        <w:rPr>
          <w:rFonts w:cs="Arial"/>
          <w:bCs/>
          <w:color w:val="000000"/>
          <w:szCs w:val="20"/>
        </w:rPr>
        <w:t>Après avoir lu ce document répondez aux questions suivantes :</w:t>
      </w:r>
    </w:p>
    <w:p w14:paraId="5642450B" w14:textId="77777777" w:rsidR="006F486E" w:rsidRPr="00C573BD" w:rsidRDefault="006F486E" w:rsidP="006F486E">
      <w:pPr>
        <w:pStyle w:val="tacheseurasment"/>
        <w:numPr>
          <w:ilvl w:val="0"/>
          <w:numId w:val="6"/>
        </w:numPr>
        <w:ind w:left="284" w:hanging="284"/>
        <w:rPr>
          <w:rFonts w:cs="Arial"/>
          <w:bCs/>
          <w:color w:val="000000"/>
          <w:szCs w:val="20"/>
        </w:rPr>
      </w:pPr>
      <w:r w:rsidRPr="00C573BD">
        <w:rPr>
          <w:rFonts w:cs="Arial"/>
          <w:bCs/>
          <w:color w:val="000000"/>
          <w:szCs w:val="20"/>
        </w:rPr>
        <w:t>À partir de quelles dates les entreprises seront-elles tenues d’émettre et de recevoir des factures électroniques</w:t>
      </w:r>
      <w:r>
        <w:rPr>
          <w:rFonts w:cs="Arial"/>
          <w:bCs/>
          <w:color w:val="000000"/>
          <w:szCs w:val="20"/>
        </w:rPr>
        <w:t> </w:t>
      </w:r>
      <w:r w:rsidRPr="00C573BD">
        <w:rPr>
          <w:rFonts w:cs="Arial"/>
          <w:bCs/>
          <w:color w:val="000000"/>
          <w:szCs w:val="20"/>
        </w:rPr>
        <w:t>?</w:t>
      </w:r>
    </w:p>
    <w:p w14:paraId="475F8F56" w14:textId="77777777" w:rsidR="006F486E" w:rsidRPr="00C573BD" w:rsidRDefault="006F486E" w:rsidP="006F486E">
      <w:pPr>
        <w:pStyle w:val="tacheseurasment"/>
        <w:numPr>
          <w:ilvl w:val="0"/>
          <w:numId w:val="6"/>
        </w:numPr>
        <w:ind w:left="284" w:hanging="284"/>
        <w:rPr>
          <w:rFonts w:cs="Arial"/>
          <w:bCs/>
          <w:color w:val="000000"/>
          <w:szCs w:val="20"/>
        </w:rPr>
      </w:pPr>
      <w:r w:rsidRPr="00C573BD">
        <w:rPr>
          <w:rFonts w:cs="Arial"/>
          <w:bCs/>
          <w:color w:val="000000"/>
          <w:szCs w:val="20"/>
        </w:rPr>
        <w:t>Quelles opérations sont concernées par l’obligation de facturation électronique ?</w:t>
      </w:r>
    </w:p>
    <w:p w14:paraId="380AB600" w14:textId="77777777" w:rsidR="006F486E" w:rsidRPr="00C573BD" w:rsidRDefault="006F486E" w:rsidP="006F486E">
      <w:pPr>
        <w:pStyle w:val="tacheseurasment"/>
        <w:numPr>
          <w:ilvl w:val="0"/>
          <w:numId w:val="6"/>
        </w:numPr>
        <w:ind w:left="284" w:hanging="284"/>
        <w:rPr>
          <w:rFonts w:cs="Arial"/>
          <w:bCs/>
          <w:color w:val="000000"/>
          <w:szCs w:val="20"/>
        </w:rPr>
      </w:pPr>
      <w:r w:rsidRPr="00C573BD">
        <w:rPr>
          <w:rFonts w:cs="Arial"/>
          <w:bCs/>
          <w:color w:val="000000"/>
          <w:szCs w:val="20"/>
        </w:rPr>
        <w:t>Quelles nouvelles mentions obligatoires devront figurer sur les factures électroniques ?</w:t>
      </w:r>
    </w:p>
    <w:p w14:paraId="0DF4FD16" w14:textId="77777777" w:rsidR="006F486E" w:rsidRPr="00C573BD" w:rsidRDefault="006F486E" w:rsidP="006F486E">
      <w:pPr>
        <w:pStyle w:val="tacheseurasment"/>
        <w:numPr>
          <w:ilvl w:val="0"/>
          <w:numId w:val="6"/>
        </w:numPr>
        <w:ind w:left="284" w:hanging="284"/>
        <w:rPr>
          <w:rFonts w:cs="Arial"/>
          <w:bCs/>
          <w:color w:val="000000"/>
          <w:szCs w:val="20"/>
        </w:rPr>
      </w:pPr>
      <w:r w:rsidRPr="00C573BD">
        <w:rPr>
          <w:rFonts w:cs="Arial"/>
          <w:bCs/>
          <w:color w:val="000000"/>
          <w:szCs w:val="20"/>
        </w:rPr>
        <w:t>Quels sont les principaux objectifs poursuivis à travers la généralisation de la facturation électronique ?</w:t>
      </w:r>
    </w:p>
    <w:p w14:paraId="0A9DFBBA" w14:textId="77777777" w:rsidR="006F486E" w:rsidRPr="006F23A0" w:rsidRDefault="006F486E" w:rsidP="006F486E">
      <w:pPr>
        <w:pStyle w:val="tacheseurasment"/>
        <w:rPr>
          <w:rFonts w:cs="Arial"/>
          <w:bCs/>
          <w:color w:val="000000"/>
          <w:szCs w:val="20"/>
        </w:rPr>
      </w:pPr>
    </w:p>
    <w:p w14:paraId="69CED407" w14:textId="77777777" w:rsidR="006F486E" w:rsidRPr="007E28D7" w:rsidRDefault="006F486E" w:rsidP="006F486E">
      <w:pPr>
        <w:pStyle w:val="tacheseurasment"/>
        <w:spacing w:after="120"/>
        <w:rPr>
          <w:rFonts w:cs="Arial"/>
          <w:b/>
          <w:bCs/>
          <w:color w:val="000000"/>
          <w:sz w:val="24"/>
        </w:rPr>
      </w:pPr>
      <w:r w:rsidRPr="007E28D7">
        <w:rPr>
          <w:rFonts w:cs="Arial"/>
          <w:b/>
          <w:bCs/>
          <w:color w:val="FFFFFF" w:themeColor="background1"/>
          <w:sz w:val="24"/>
          <w:highlight w:val="red"/>
        </w:rPr>
        <w:t>Doc</w:t>
      </w:r>
      <w:r>
        <w:rPr>
          <w:rFonts w:cs="Arial"/>
          <w:b/>
          <w:bCs/>
          <w:color w:val="FFFFFF" w:themeColor="background1"/>
          <w:sz w:val="24"/>
          <w:highlight w:val="red"/>
        </w:rPr>
        <w:t xml:space="preserve">. </w:t>
      </w:r>
      <w:r w:rsidRPr="007E28D7">
        <w:rPr>
          <w:rFonts w:cs="Arial"/>
          <w:b/>
          <w:bCs/>
          <w:color w:val="FFFFFF" w:themeColor="background1"/>
          <w:sz w:val="24"/>
        </w:rPr>
        <w:t xml:space="preserve"> </w:t>
      </w:r>
      <w:r w:rsidRPr="007E28D7">
        <w:rPr>
          <w:rFonts w:cs="Arial"/>
          <w:b/>
          <w:bCs/>
          <w:color w:val="000000"/>
          <w:sz w:val="24"/>
        </w:rPr>
        <w:t>Facturation électronique : c’est pour bientôt !</w:t>
      </w:r>
    </w:p>
    <w:p w14:paraId="3EA8F8FE" w14:textId="77777777" w:rsidR="006F486E" w:rsidRPr="007E28D7" w:rsidRDefault="006F486E" w:rsidP="006F486E">
      <w:pPr>
        <w:pStyle w:val="tacheseurasment"/>
        <w:rPr>
          <w:rFonts w:cs="Arial"/>
          <w:bCs/>
          <w:i/>
          <w:iCs/>
          <w:color w:val="000000"/>
          <w:sz w:val="18"/>
          <w:szCs w:val="18"/>
        </w:rPr>
      </w:pPr>
      <w:r w:rsidRPr="007E28D7">
        <w:rPr>
          <w:rFonts w:cs="Arial"/>
          <w:bCs/>
          <w:i/>
          <w:iCs/>
          <w:color w:val="000000"/>
          <w:sz w:val="18"/>
          <w:szCs w:val="18"/>
        </w:rPr>
        <w:t xml:space="preserve">Source : </w:t>
      </w:r>
      <w:hyperlink r:id="rId10" w:history="1">
        <w:r w:rsidRPr="007E28D7">
          <w:rPr>
            <w:rStyle w:val="Lienhypertexte"/>
            <w:rFonts w:cs="Arial"/>
            <w:bCs/>
            <w:i/>
            <w:iCs/>
            <w:sz w:val="18"/>
            <w:szCs w:val="18"/>
          </w:rPr>
          <w:t>https://entreprendre.service-public.gouv.fr/</w:t>
        </w:r>
      </w:hyperlink>
      <w:r w:rsidRPr="007E28D7">
        <w:rPr>
          <w:rFonts w:cs="Arial"/>
          <w:bCs/>
          <w:i/>
          <w:iCs/>
          <w:color w:val="000000"/>
          <w:sz w:val="18"/>
          <w:szCs w:val="18"/>
        </w:rPr>
        <w:t xml:space="preserve"> </w:t>
      </w:r>
    </w:p>
    <w:p w14:paraId="73650A0D" w14:textId="77777777" w:rsidR="006F486E" w:rsidRPr="007E28D7" w:rsidRDefault="006F486E" w:rsidP="006F486E">
      <w:pPr>
        <w:pStyle w:val="tacheseurasment"/>
        <w:spacing w:before="120"/>
        <w:jc w:val="both"/>
        <w:rPr>
          <w:rFonts w:cs="Arial"/>
          <w:bCs/>
          <w:color w:val="000000"/>
          <w:sz w:val="18"/>
          <w:szCs w:val="18"/>
        </w:rPr>
      </w:pPr>
      <w:r w:rsidRPr="007E28D7">
        <w:rPr>
          <w:rFonts w:cs="Arial"/>
          <w:bCs/>
          <w:color w:val="000000"/>
          <w:sz w:val="18"/>
          <w:szCs w:val="18"/>
        </w:rPr>
        <w:t>L'obligation pour les entreprises établies en France d'émettre et de recevoir des factures électroniques s'appliquera progressivement à partir du 1</w:t>
      </w:r>
      <w:r w:rsidRPr="007E28D7">
        <w:rPr>
          <w:rFonts w:cs="Arial"/>
          <w:bCs/>
          <w:color w:val="000000"/>
          <w:sz w:val="18"/>
          <w:szCs w:val="18"/>
          <w:vertAlign w:val="superscript"/>
        </w:rPr>
        <w:t>er</w:t>
      </w:r>
      <w:r w:rsidRPr="007E28D7">
        <w:rPr>
          <w:rFonts w:cs="Arial"/>
          <w:bCs/>
          <w:color w:val="000000"/>
          <w:sz w:val="18"/>
          <w:szCs w:val="18"/>
        </w:rPr>
        <w:t> septembre 2026. Dans le cadre de cette réforme, il est impératif de choisir une plateforme agréée par l’État.</w:t>
      </w:r>
    </w:p>
    <w:p w14:paraId="063F9681" w14:textId="77777777" w:rsidR="006F486E" w:rsidRPr="007E28D7" w:rsidRDefault="006F486E" w:rsidP="006F486E">
      <w:pPr>
        <w:pStyle w:val="tacheseurasment"/>
        <w:spacing w:before="120" w:after="60"/>
        <w:rPr>
          <w:rFonts w:cs="Arial"/>
          <w:b/>
          <w:bCs/>
          <w:color w:val="000000"/>
          <w:szCs w:val="20"/>
        </w:rPr>
      </w:pPr>
      <w:r w:rsidRPr="007E28D7">
        <w:rPr>
          <w:rFonts w:cs="Arial"/>
          <w:b/>
          <w:bCs/>
          <w:color w:val="000000"/>
          <w:szCs w:val="20"/>
        </w:rPr>
        <w:t>Obligation d'émission et de réception de factures électroniques : quel calendrier ?</w:t>
      </w:r>
    </w:p>
    <w:p w14:paraId="507D770E" w14:textId="77777777" w:rsidR="006F486E" w:rsidRPr="007E28D7" w:rsidRDefault="006F486E" w:rsidP="006F486E">
      <w:pPr>
        <w:pStyle w:val="tacheseurasment"/>
        <w:rPr>
          <w:rFonts w:cs="Arial"/>
          <w:bCs/>
          <w:color w:val="000000"/>
          <w:sz w:val="18"/>
          <w:szCs w:val="18"/>
        </w:rPr>
      </w:pPr>
      <w:r w:rsidRPr="007E28D7">
        <w:rPr>
          <w:rFonts w:cs="Arial"/>
          <w:bCs/>
          <w:color w:val="000000"/>
          <w:sz w:val="18"/>
          <w:szCs w:val="18"/>
        </w:rPr>
        <w:t>L'</w:t>
      </w:r>
      <w:r w:rsidRPr="007E28D7">
        <w:rPr>
          <w:rFonts w:cs="Arial"/>
          <w:b/>
          <w:bCs/>
          <w:color w:val="000000"/>
          <w:sz w:val="18"/>
          <w:szCs w:val="18"/>
        </w:rPr>
        <w:t>obligation d'émettre</w:t>
      </w:r>
      <w:r w:rsidRPr="007E28D7">
        <w:rPr>
          <w:rFonts w:cs="Arial"/>
          <w:bCs/>
          <w:color w:val="000000"/>
          <w:sz w:val="18"/>
          <w:szCs w:val="18"/>
        </w:rPr>
        <w:t> des factures électroniques prendra effet :</w:t>
      </w:r>
    </w:p>
    <w:p w14:paraId="784D23A8" w14:textId="77777777" w:rsidR="006F486E" w:rsidRPr="007E28D7" w:rsidRDefault="006F486E" w:rsidP="006F486E">
      <w:pPr>
        <w:pStyle w:val="tacheseurasment"/>
        <w:numPr>
          <w:ilvl w:val="0"/>
          <w:numId w:val="2"/>
        </w:numPr>
        <w:tabs>
          <w:tab w:val="clear" w:pos="360"/>
        </w:tabs>
        <w:ind w:left="284" w:hanging="284"/>
        <w:rPr>
          <w:rFonts w:cs="Arial"/>
          <w:bCs/>
          <w:color w:val="000000"/>
          <w:sz w:val="18"/>
          <w:szCs w:val="18"/>
        </w:rPr>
      </w:pPr>
      <w:proofErr w:type="gramStart"/>
      <w:r w:rsidRPr="007E28D7">
        <w:rPr>
          <w:rFonts w:cs="Arial"/>
          <w:bCs/>
          <w:color w:val="000000"/>
          <w:sz w:val="18"/>
          <w:szCs w:val="18"/>
        </w:rPr>
        <w:t>le</w:t>
      </w:r>
      <w:proofErr w:type="gramEnd"/>
      <w:r w:rsidRPr="007E28D7">
        <w:rPr>
          <w:rFonts w:cs="Arial"/>
          <w:bCs/>
          <w:color w:val="000000"/>
          <w:sz w:val="18"/>
          <w:szCs w:val="18"/>
        </w:rPr>
        <w:t> </w:t>
      </w:r>
      <w:r w:rsidRPr="007E28D7">
        <w:rPr>
          <w:rFonts w:cs="Arial"/>
          <w:b/>
          <w:bCs/>
          <w:color w:val="000000"/>
          <w:sz w:val="18"/>
          <w:szCs w:val="18"/>
        </w:rPr>
        <w:t>1</w:t>
      </w:r>
      <w:r w:rsidRPr="007E28D7">
        <w:rPr>
          <w:rFonts w:cs="Arial"/>
          <w:b/>
          <w:bCs/>
          <w:color w:val="000000"/>
          <w:sz w:val="18"/>
          <w:szCs w:val="18"/>
          <w:vertAlign w:val="superscript"/>
        </w:rPr>
        <w:t>er</w:t>
      </w:r>
      <w:r w:rsidRPr="007E28D7">
        <w:rPr>
          <w:rFonts w:cs="Arial"/>
          <w:b/>
          <w:bCs/>
          <w:color w:val="000000"/>
          <w:sz w:val="18"/>
          <w:szCs w:val="18"/>
        </w:rPr>
        <w:t> septembre 2026</w:t>
      </w:r>
      <w:r w:rsidRPr="007E28D7">
        <w:rPr>
          <w:rFonts w:cs="Arial"/>
          <w:bCs/>
          <w:color w:val="000000"/>
          <w:sz w:val="18"/>
          <w:szCs w:val="18"/>
        </w:rPr>
        <w:t> pour les grandes entreprises et les entreprises de taille intermédiaire (ETI) ;</w:t>
      </w:r>
    </w:p>
    <w:p w14:paraId="425DE07D" w14:textId="77777777" w:rsidR="006F486E" w:rsidRPr="007E28D7" w:rsidRDefault="006F486E" w:rsidP="006F486E">
      <w:pPr>
        <w:pStyle w:val="tacheseurasment"/>
        <w:numPr>
          <w:ilvl w:val="0"/>
          <w:numId w:val="2"/>
        </w:numPr>
        <w:tabs>
          <w:tab w:val="clear" w:pos="360"/>
        </w:tabs>
        <w:ind w:left="284" w:hanging="284"/>
        <w:rPr>
          <w:rFonts w:cs="Arial"/>
          <w:bCs/>
          <w:color w:val="000000"/>
          <w:sz w:val="18"/>
          <w:szCs w:val="18"/>
        </w:rPr>
      </w:pPr>
      <w:proofErr w:type="gramStart"/>
      <w:r w:rsidRPr="007E28D7">
        <w:rPr>
          <w:rFonts w:cs="Arial"/>
          <w:bCs/>
          <w:color w:val="000000"/>
          <w:sz w:val="18"/>
          <w:szCs w:val="18"/>
        </w:rPr>
        <w:t>le</w:t>
      </w:r>
      <w:proofErr w:type="gramEnd"/>
      <w:r w:rsidRPr="007E28D7">
        <w:rPr>
          <w:rFonts w:cs="Arial"/>
          <w:bCs/>
          <w:color w:val="000000"/>
          <w:sz w:val="18"/>
          <w:szCs w:val="18"/>
        </w:rPr>
        <w:t> </w:t>
      </w:r>
      <w:r w:rsidRPr="007E28D7">
        <w:rPr>
          <w:rFonts w:cs="Arial"/>
          <w:b/>
          <w:bCs/>
          <w:color w:val="000000"/>
          <w:sz w:val="18"/>
          <w:szCs w:val="18"/>
        </w:rPr>
        <w:t>1</w:t>
      </w:r>
      <w:r w:rsidRPr="007E28D7">
        <w:rPr>
          <w:rFonts w:cs="Arial"/>
          <w:b/>
          <w:bCs/>
          <w:color w:val="000000"/>
          <w:sz w:val="18"/>
          <w:szCs w:val="18"/>
          <w:vertAlign w:val="superscript"/>
        </w:rPr>
        <w:t>er</w:t>
      </w:r>
      <w:r w:rsidRPr="007E28D7">
        <w:rPr>
          <w:rFonts w:cs="Arial"/>
          <w:b/>
          <w:bCs/>
          <w:color w:val="000000"/>
          <w:sz w:val="18"/>
          <w:szCs w:val="18"/>
        </w:rPr>
        <w:t> septembre 2027</w:t>
      </w:r>
      <w:r w:rsidRPr="007E28D7">
        <w:rPr>
          <w:rFonts w:cs="Arial"/>
          <w:bCs/>
          <w:color w:val="000000"/>
          <w:sz w:val="18"/>
          <w:szCs w:val="18"/>
        </w:rPr>
        <w:t> pour les petites et moyennes entreprises (PME) et les micro-entreprises.</w:t>
      </w:r>
    </w:p>
    <w:p w14:paraId="2679EA03" w14:textId="77777777" w:rsidR="006F486E" w:rsidRPr="007E28D7" w:rsidRDefault="006F486E" w:rsidP="006F486E">
      <w:pPr>
        <w:pStyle w:val="tacheseurasment"/>
        <w:spacing w:before="120"/>
        <w:jc w:val="both"/>
        <w:rPr>
          <w:rFonts w:cs="Arial"/>
          <w:bCs/>
          <w:color w:val="000000"/>
          <w:sz w:val="18"/>
          <w:szCs w:val="18"/>
        </w:rPr>
      </w:pPr>
      <w:r w:rsidRPr="007E28D7">
        <w:rPr>
          <w:rFonts w:cs="Arial"/>
          <w:bCs/>
          <w:color w:val="000000"/>
          <w:sz w:val="18"/>
          <w:szCs w:val="18"/>
        </w:rPr>
        <w:t>L'</w:t>
      </w:r>
      <w:r w:rsidRPr="007E28D7">
        <w:rPr>
          <w:rFonts w:cs="Arial"/>
          <w:b/>
          <w:bCs/>
          <w:color w:val="000000"/>
          <w:sz w:val="18"/>
          <w:szCs w:val="18"/>
        </w:rPr>
        <w:t>obligation de recevoir</w:t>
      </w:r>
      <w:r w:rsidRPr="007E28D7">
        <w:rPr>
          <w:rFonts w:cs="Arial"/>
          <w:bCs/>
          <w:color w:val="000000"/>
          <w:sz w:val="18"/>
          <w:szCs w:val="18"/>
        </w:rPr>
        <w:t> des factures électroniques s'appliquera pour l'ensemble des entreprises dès le </w:t>
      </w:r>
      <w:r w:rsidRPr="007E28D7">
        <w:rPr>
          <w:rFonts w:cs="Arial"/>
          <w:b/>
          <w:bCs/>
          <w:color w:val="000000"/>
          <w:sz w:val="18"/>
          <w:szCs w:val="18"/>
        </w:rPr>
        <w:t>1</w:t>
      </w:r>
      <w:r w:rsidRPr="007E28D7">
        <w:rPr>
          <w:rFonts w:cs="Arial"/>
          <w:b/>
          <w:bCs/>
          <w:color w:val="000000"/>
          <w:sz w:val="18"/>
          <w:szCs w:val="18"/>
          <w:vertAlign w:val="superscript"/>
        </w:rPr>
        <w:t>er</w:t>
      </w:r>
      <w:r w:rsidRPr="007E28D7">
        <w:rPr>
          <w:rFonts w:cs="Arial"/>
          <w:b/>
          <w:bCs/>
          <w:color w:val="000000"/>
          <w:sz w:val="18"/>
          <w:szCs w:val="18"/>
        </w:rPr>
        <w:t> septembre 2026</w:t>
      </w:r>
      <w:r w:rsidRPr="007E28D7">
        <w:rPr>
          <w:rFonts w:cs="Arial"/>
          <w:bCs/>
          <w:color w:val="000000"/>
          <w:sz w:val="18"/>
          <w:szCs w:val="18"/>
        </w:rPr>
        <w:t>.</w:t>
      </w:r>
    </w:p>
    <w:p w14:paraId="2E133D52" w14:textId="77777777" w:rsidR="006F486E" w:rsidRPr="007E28D7" w:rsidRDefault="006F486E" w:rsidP="006F486E">
      <w:pPr>
        <w:pStyle w:val="tacheseurasment"/>
        <w:spacing w:before="120" w:after="60"/>
        <w:rPr>
          <w:rFonts w:cs="Arial"/>
          <w:b/>
          <w:bCs/>
          <w:color w:val="000000"/>
          <w:szCs w:val="20"/>
        </w:rPr>
      </w:pPr>
      <w:r w:rsidRPr="007E28D7">
        <w:rPr>
          <w:rFonts w:cs="Arial"/>
          <w:b/>
          <w:bCs/>
          <w:color w:val="000000"/>
          <w:szCs w:val="20"/>
        </w:rPr>
        <w:t>Champ d'application de la facturation électronique</w:t>
      </w:r>
    </w:p>
    <w:p w14:paraId="33245087" w14:textId="77777777" w:rsidR="006F486E" w:rsidRPr="007E28D7" w:rsidRDefault="006F486E" w:rsidP="006F486E">
      <w:pPr>
        <w:pStyle w:val="tacheseurasment"/>
        <w:jc w:val="both"/>
        <w:rPr>
          <w:rFonts w:cs="Arial"/>
          <w:bCs/>
          <w:color w:val="000000"/>
          <w:sz w:val="18"/>
          <w:szCs w:val="18"/>
        </w:rPr>
      </w:pPr>
      <w:r w:rsidRPr="007E28D7">
        <w:rPr>
          <w:rFonts w:cs="Arial"/>
          <w:bCs/>
          <w:color w:val="000000"/>
          <w:sz w:val="18"/>
          <w:szCs w:val="18"/>
        </w:rPr>
        <w:t>[…] la facturation électronique concerne l'ensemble des opérations réalisées entre entreprises établies en France et assujetties à la TVA. Sont donc soumis à la facturation électronique :</w:t>
      </w:r>
    </w:p>
    <w:p w14:paraId="13320770" w14:textId="77777777" w:rsidR="006F486E" w:rsidRPr="007E28D7" w:rsidRDefault="006F486E" w:rsidP="006F486E">
      <w:pPr>
        <w:pStyle w:val="tacheseurasment"/>
        <w:numPr>
          <w:ilvl w:val="0"/>
          <w:numId w:val="3"/>
        </w:numPr>
        <w:tabs>
          <w:tab w:val="clear" w:pos="360"/>
        </w:tabs>
        <w:ind w:left="284" w:hanging="284"/>
        <w:jc w:val="both"/>
        <w:rPr>
          <w:rFonts w:cs="Arial"/>
          <w:bCs/>
          <w:color w:val="000000"/>
          <w:sz w:val="18"/>
          <w:szCs w:val="18"/>
        </w:rPr>
      </w:pPr>
      <w:proofErr w:type="gramStart"/>
      <w:r w:rsidRPr="007E28D7">
        <w:rPr>
          <w:rFonts w:cs="Arial"/>
          <w:bCs/>
          <w:color w:val="000000"/>
          <w:sz w:val="18"/>
          <w:szCs w:val="18"/>
        </w:rPr>
        <w:t>les</w:t>
      </w:r>
      <w:proofErr w:type="gramEnd"/>
      <w:r w:rsidRPr="007E28D7">
        <w:rPr>
          <w:rFonts w:cs="Arial"/>
          <w:bCs/>
          <w:color w:val="000000"/>
          <w:sz w:val="18"/>
          <w:szCs w:val="18"/>
        </w:rPr>
        <w:t xml:space="preserve"> livraisons de biens ou les prestations de services situées en France qu'un assujetti effectue avec un autre assujetti et qui ne sont pas exonérées de TVA ;</w:t>
      </w:r>
    </w:p>
    <w:p w14:paraId="0154169A" w14:textId="77777777" w:rsidR="006F486E" w:rsidRPr="007E28D7" w:rsidRDefault="006F486E" w:rsidP="006F486E">
      <w:pPr>
        <w:pStyle w:val="tacheseurasment"/>
        <w:numPr>
          <w:ilvl w:val="0"/>
          <w:numId w:val="3"/>
        </w:numPr>
        <w:tabs>
          <w:tab w:val="clear" w:pos="360"/>
        </w:tabs>
        <w:ind w:left="284" w:hanging="284"/>
        <w:jc w:val="both"/>
        <w:rPr>
          <w:rFonts w:cs="Arial"/>
          <w:bCs/>
          <w:color w:val="000000"/>
          <w:sz w:val="18"/>
          <w:szCs w:val="18"/>
        </w:rPr>
      </w:pPr>
      <w:proofErr w:type="gramStart"/>
      <w:r w:rsidRPr="007E28D7">
        <w:rPr>
          <w:rFonts w:cs="Arial"/>
          <w:bCs/>
          <w:color w:val="000000"/>
          <w:sz w:val="18"/>
          <w:szCs w:val="18"/>
        </w:rPr>
        <w:t>les</w:t>
      </w:r>
      <w:proofErr w:type="gramEnd"/>
      <w:r w:rsidRPr="007E28D7">
        <w:rPr>
          <w:rFonts w:cs="Arial"/>
          <w:bCs/>
          <w:color w:val="000000"/>
          <w:sz w:val="18"/>
          <w:szCs w:val="18"/>
        </w:rPr>
        <w:t xml:space="preserve"> acomptes se rapportant à ces opérations ;</w:t>
      </w:r>
    </w:p>
    <w:p w14:paraId="11F3CD4B" w14:textId="77777777" w:rsidR="006F486E" w:rsidRPr="007E28D7" w:rsidRDefault="006F486E" w:rsidP="006F486E">
      <w:pPr>
        <w:pStyle w:val="tacheseurasment"/>
        <w:numPr>
          <w:ilvl w:val="0"/>
          <w:numId w:val="3"/>
        </w:numPr>
        <w:tabs>
          <w:tab w:val="clear" w:pos="360"/>
        </w:tabs>
        <w:ind w:left="284" w:hanging="284"/>
        <w:jc w:val="both"/>
        <w:rPr>
          <w:rFonts w:cs="Arial"/>
          <w:bCs/>
          <w:color w:val="000000"/>
          <w:sz w:val="18"/>
          <w:szCs w:val="18"/>
        </w:rPr>
      </w:pPr>
      <w:proofErr w:type="gramStart"/>
      <w:r w:rsidRPr="007E28D7">
        <w:rPr>
          <w:rFonts w:cs="Arial"/>
          <w:bCs/>
          <w:color w:val="000000"/>
          <w:sz w:val="18"/>
          <w:szCs w:val="18"/>
        </w:rPr>
        <w:t>les</w:t>
      </w:r>
      <w:proofErr w:type="gramEnd"/>
      <w:r w:rsidRPr="007E28D7">
        <w:rPr>
          <w:rFonts w:cs="Arial"/>
          <w:bCs/>
          <w:color w:val="000000"/>
          <w:sz w:val="18"/>
          <w:szCs w:val="18"/>
        </w:rPr>
        <w:t xml:space="preserve"> livraisons aux enchères publiques de biens d'occasion, d'œuvres d'art, d'objets de collection ou d'antiquité.</w:t>
      </w:r>
    </w:p>
    <w:p w14:paraId="51176454" w14:textId="77777777" w:rsidR="006F486E" w:rsidRPr="007E28D7" w:rsidRDefault="006F486E" w:rsidP="006F486E">
      <w:pPr>
        <w:pStyle w:val="tacheseurasment"/>
        <w:spacing w:before="120" w:after="60"/>
        <w:rPr>
          <w:rFonts w:cs="Arial"/>
          <w:b/>
          <w:bCs/>
          <w:color w:val="000000"/>
          <w:szCs w:val="20"/>
        </w:rPr>
      </w:pPr>
      <w:r w:rsidRPr="007E28D7">
        <w:rPr>
          <w:rFonts w:cs="Arial"/>
          <w:b/>
          <w:bCs/>
          <w:color w:val="000000"/>
          <w:szCs w:val="20"/>
        </w:rPr>
        <w:t>De nouvelles mentions obligatoires</w:t>
      </w:r>
    </w:p>
    <w:p w14:paraId="0970C4B2" w14:textId="77777777" w:rsidR="006F486E" w:rsidRPr="007E28D7" w:rsidRDefault="006F486E" w:rsidP="006F486E">
      <w:pPr>
        <w:pStyle w:val="tacheseurasment"/>
        <w:rPr>
          <w:rFonts w:cs="Arial"/>
          <w:bCs/>
          <w:color w:val="000000"/>
          <w:sz w:val="18"/>
          <w:szCs w:val="18"/>
        </w:rPr>
      </w:pPr>
      <w:r w:rsidRPr="007E28D7">
        <w:rPr>
          <w:rFonts w:cs="Arial"/>
          <w:bCs/>
          <w:color w:val="000000"/>
          <w:sz w:val="18"/>
          <w:szCs w:val="18"/>
        </w:rPr>
        <w:t>De plus, de nouvelles mentions devront être ajoutées sur les factures émises au </w:t>
      </w:r>
      <w:r w:rsidRPr="007E28D7">
        <w:rPr>
          <w:rFonts w:cs="Arial"/>
          <w:b/>
          <w:bCs/>
          <w:color w:val="000000"/>
          <w:sz w:val="18"/>
          <w:szCs w:val="18"/>
        </w:rPr>
        <w:t>1</w:t>
      </w:r>
      <w:r w:rsidRPr="007E28D7">
        <w:rPr>
          <w:rFonts w:cs="Arial"/>
          <w:b/>
          <w:bCs/>
          <w:color w:val="000000"/>
          <w:sz w:val="18"/>
          <w:szCs w:val="18"/>
          <w:vertAlign w:val="superscript"/>
        </w:rPr>
        <w:t>er</w:t>
      </w:r>
      <w:r w:rsidRPr="007E28D7">
        <w:rPr>
          <w:rFonts w:cs="Arial"/>
          <w:b/>
          <w:bCs/>
          <w:color w:val="000000"/>
          <w:sz w:val="18"/>
          <w:szCs w:val="18"/>
        </w:rPr>
        <w:t> septembre 2026</w:t>
      </w:r>
      <w:r w:rsidRPr="007E28D7">
        <w:rPr>
          <w:rFonts w:cs="Arial"/>
          <w:bCs/>
          <w:color w:val="000000"/>
          <w:sz w:val="18"/>
          <w:szCs w:val="18"/>
        </w:rPr>
        <w:t> pour les grandes entreprises et les entreprises de taille intermédiaire (ETI) et au </w:t>
      </w:r>
      <w:r w:rsidRPr="007E28D7">
        <w:rPr>
          <w:rFonts w:cs="Arial"/>
          <w:b/>
          <w:bCs/>
          <w:color w:val="000000"/>
          <w:sz w:val="18"/>
          <w:szCs w:val="18"/>
        </w:rPr>
        <w:t>1</w:t>
      </w:r>
      <w:r w:rsidRPr="007E28D7">
        <w:rPr>
          <w:rFonts w:cs="Arial"/>
          <w:b/>
          <w:bCs/>
          <w:color w:val="000000"/>
          <w:sz w:val="18"/>
          <w:szCs w:val="18"/>
          <w:vertAlign w:val="superscript"/>
        </w:rPr>
        <w:t>er</w:t>
      </w:r>
      <w:r w:rsidRPr="007E28D7">
        <w:rPr>
          <w:rFonts w:cs="Arial"/>
          <w:b/>
          <w:bCs/>
          <w:color w:val="000000"/>
          <w:sz w:val="18"/>
          <w:szCs w:val="18"/>
        </w:rPr>
        <w:t> septembre 2027</w:t>
      </w:r>
      <w:r w:rsidRPr="007E28D7">
        <w:rPr>
          <w:rFonts w:cs="Arial"/>
          <w:bCs/>
          <w:color w:val="000000"/>
          <w:sz w:val="18"/>
          <w:szCs w:val="18"/>
        </w:rPr>
        <w:t> pour les petites et moyennes entreprises (PME) et les micro-entreprises :</w:t>
      </w:r>
    </w:p>
    <w:p w14:paraId="4636981C" w14:textId="77777777" w:rsidR="006F486E" w:rsidRPr="007E28D7" w:rsidRDefault="006F486E" w:rsidP="006F486E">
      <w:pPr>
        <w:pStyle w:val="tacheseurasment"/>
        <w:numPr>
          <w:ilvl w:val="0"/>
          <w:numId w:val="4"/>
        </w:numPr>
        <w:tabs>
          <w:tab w:val="clear" w:pos="360"/>
        </w:tabs>
        <w:ind w:left="284" w:hanging="284"/>
        <w:jc w:val="both"/>
        <w:rPr>
          <w:rFonts w:cs="Arial"/>
          <w:bCs/>
          <w:color w:val="000000"/>
          <w:sz w:val="18"/>
          <w:szCs w:val="18"/>
        </w:rPr>
      </w:pPr>
      <w:proofErr w:type="gramStart"/>
      <w:r w:rsidRPr="007E28D7">
        <w:rPr>
          <w:rFonts w:cs="Arial"/>
          <w:bCs/>
          <w:color w:val="000000"/>
          <w:sz w:val="18"/>
          <w:szCs w:val="18"/>
        </w:rPr>
        <w:t>le</w:t>
      </w:r>
      <w:proofErr w:type="gramEnd"/>
      <w:r w:rsidRPr="007E28D7">
        <w:rPr>
          <w:rFonts w:cs="Arial"/>
          <w:bCs/>
          <w:color w:val="000000"/>
          <w:sz w:val="18"/>
          <w:szCs w:val="18"/>
        </w:rPr>
        <w:t xml:space="preserve"> numéro SIREN du client ;</w:t>
      </w:r>
    </w:p>
    <w:p w14:paraId="377653E6" w14:textId="77777777" w:rsidR="006F486E" w:rsidRPr="007E28D7" w:rsidRDefault="006F486E" w:rsidP="006F486E">
      <w:pPr>
        <w:pStyle w:val="tacheseurasment"/>
        <w:numPr>
          <w:ilvl w:val="0"/>
          <w:numId w:val="4"/>
        </w:numPr>
        <w:tabs>
          <w:tab w:val="clear" w:pos="360"/>
        </w:tabs>
        <w:ind w:left="284" w:hanging="284"/>
        <w:jc w:val="both"/>
        <w:rPr>
          <w:rFonts w:cs="Arial"/>
          <w:bCs/>
          <w:color w:val="000000"/>
          <w:sz w:val="18"/>
          <w:szCs w:val="18"/>
        </w:rPr>
      </w:pPr>
      <w:proofErr w:type="gramStart"/>
      <w:r w:rsidRPr="007E28D7">
        <w:rPr>
          <w:rFonts w:cs="Arial"/>
          <w:bCs/>
          <w:color w:val="000000"/>
          <w:sz w:val="18"/>
          <w:szCs w:val="18"/>
        </w:rPr>
        <w:t>l'adresse</w:t>
      </w:r>
      <w:proofErr w:type="gramEnd"/>
      <w:r w:rsidRPr="007E28D7">
        <w:rPr>
          <w:rFonts w:cs="Arial"/>
          <w:bCs/>
          <w:color w:val="000000"/>
          <w:sz w:val="18"/>
          <w:szCs w:val="18"/>
        </w:rPr>
        <w:t xml:space="preserve"> de livraison des biens, lorsqu'elle est différente de l'adresse de facturation ;</w:t>
      </w:r>
    </w:p>
    <w:p w14:paraId="517D5D58" w14:textId="77777777" w:rsidR="006F486E" w:rsidRPr="007E28D7" w:rsidRDefault="006F486E" w:rsidP="006F486E">
      <w:pPr>
        <w:pStyle w:val="tacheseurasment"/>
        <w:numPr>
          <w:ilvl w:val="0"/>
          <w:numId w:val="4"/>
        </w:numPr>
        <w:tabs>
          <w:tab w:val="clear" w:pos="360"/>
        </w:tabs>
        <w:ind w:left="284" w:hanging="284"/>
        <w:jc w:val="both"/>
        <w:rPr>
          <w:rFonts w:cs="Arial"/>
          <w:bCs/>
          <w:color w:val="000000"/>
          <w:sz w:val="18"/>
          <w:szCs w:val="18"/>
        </w:rPr>
      </w:pPr>
      <w:proofErr w:type="gramStart"/>
      <w:r w:rsidRPr="007E28D7">
        <w:rPr>
          <w:rFonts w:cs="Arial"/>
          <w:bCs/>
          <w:color w:val="000000"/>
          <w:sz w:val="18"/>
          <w:szCs w:val="18"/>
        </w:rPr>
        <w:t>l'information</w:t>
      </w:r>
      <w:proofErr w:type="gramEnd"/>
      <w:r w:rsidRPr="007E28D7">
        <w:rPr>
          <w:rFonts w:cs="Arial"/>
          <w:bCs/>
          <w:color w:val="000000"/>
          <w:sz w:val="18"/>
          <w:szCs w:val="18"/>
        </w:rPr>
        <w:t xml:space="preserve"> selon laquelle les opérations donnant lieu à une facture sont constituées exclusivement de livraisons de biens ou de prestations de services ou sont constituées de ces deux catégories d'opérations ;</w:t>
      </w:r>
    </w:p>
    <w:p w14:paraId="5172DB0D" w14:textId="77777777" w:rsidR="006F486E" w:rsidRPr="007E28D7" w:rsidRDefault="006F486E" w:rsidP="006F486E">
      <w:pPr>
        <w:pStyle w:val="tacheseurasment"/>
        <w:numPr>
          <w:ilvl w:val="0"/>
          <w:numId w:val="4"/>
        </w:numPr>
        <w:tabs>
          <w:tab w:val="clear" w:pos="360"/>
        </w:tabs>
        <w:ind w:left="284" w:hanging="284"/>
        <w:jc w:val="both"/>
        <w:rPr>
          <w:rFonts w:cs="Arial"/>
          <w:bCs/>
          <w:color w:val="000000"/>
          <w:sz w:val="18"/>
          <w:szCs w:val="18"/>
        </w:rPr>
      </w:pPr>
      <w:proofErr w:type="gramStart"/>
      <w:r w:rsidRPr="007E28D7">
        <w:rPr>
          <w:rFonts w:cs="Arial"/>
          <w:bCs/>
          <w:color w:val="000000"/>
          <w:sz w:val="18"/>
          <w:szCs w:val="18"/>
        </w:rPr>
        <w:t>le</w:t>
      </w:r>
      <w:proofErr w:type="gramEnd"/>
      <w:r w:rsidRPr="007E28D7">
        <w:rPr>
          <w:rFonts w:cs="Arial"/>
          <w:bCs/>
          <w:color w:val="000000"/>
          <w:sz w:val="18"/>
          <w:szCs w:val="18"/>
        </w:rPr>
        <w:t xml:space="preserve"> paiement de la TVA sur les débits, lorsque le prestataire a opté pour celui-ci.</w:t>
      </w:r>
    </w:p>
    <w:p w14:paraId="3E4A52A5" w14:textId="77777777" w:rsidR="006F486E" w:rsidRPr="007E28D7" w:rsidRDefault="006F486E" w:rsidP="006F486E">
      <w:pPr>
        <w:pStyle w:val="tacheseurasment"/>
        <w:spacing w:before="120" w:after="120"/>
        <w:rPr>
          <w:rFonts w:cs="Arial"/>
          <w:b/>
          <w:bCs/>
          <w:color w:val="000000"/>
          <w:sz w:val="22"/>
          <w:szCs w:val="22"/>
        </w:rPr>
      </w:pPr>
      <w:r w:rsidRPr="007E28D7">
        <w:rPr>
          <w:rFonts w:cs="Arial"/>
          <w:b/>
          <w:bCs/>
          <w:color w:val="000000"/>
          <w:sz w:val="22"/>
          <w:szCs w:val="22"/>
        </w:rPr>
        <w:t>Sécurisation et conservation des factures électroniques</w:t>
      </w:r>
    </w:p>
    <w:p w14:paraId="44516460" w14:textId="77777777" w:rsidR="006F486E" w:rsidRPr="007E28D7" w:rsidRDefault="006F486E" w:rsidP="006F486E">
      <w:pPr>
        <w:pStyle w:val="tacheseurasment"/>
        <w:jc w:val="both"/>
        <w:rPr>
          <w:rFonts w:cs="Arial"/>
          <w:bCs/>
          <w:color w:val="000000"/>
          <w:sz w:val="18"/>
          <w:szCs w:val="18"/>
        </w:rPr>
      </w:pPr>
      <w:r w:rsidRPr="007E28D7">
        <w:rPr>
          <w:rFonts w:cs="Arial"/>
          <w:bCs/>
          <w:color w:val="000000"/>
          <w:sz w:val="18"/>
          <w:szCs w:val="18"/>
        </w:rPr>
        <w:t>Il est possible d'avoir recours au cachet électronique qualifié afin de sécuriser les factures électroniques. Ce cachet est utilisé par les personnes morales afin de garantir l'authenticité de l'origine, l'intégrité du contenu et la lisibilité de la facture. Il permet d'attester que le créateur de cachet est bien à l'origine du document.</w:t>
      </w:r>
      <w:r>
        <w:rPr>
          <w:rFonts w:cs="Arial"/>
          <w:bCs/>
          <w:color w:val="000000"/>
          <w:sz w:val="18"/>
          <w:szCs w:val="18"/>
        </w:rPr>
        <w:t xml:space="preserve"> </w:t>
      </w:r>
      <w:r w:rsidRPr="007E28D7">
        <w:rPr>
          <w:rFonts w:cs="Arial"/>
          <w:bCs/>
          <w:color w:val="000000"/>
          <w:sz w:val="18"/>
          <w:szCs w:val="18"/>
        </w:rPr>
        <w:t>Il a été également posé que les documents (dont les factures) établis ou reçus sur support informatique doivent être conservés sous cette forme pendant un délai de 6 ans. Ce délai court à compter de la date à laquelle la facture a été établie.</w:t>
      </w:r>
    </w:p>
    <w:p w14:paraId="018487F4" w14:textId="77777777" w:rsidR="006F486E" w:rsidRPr="007E28D7" w:rsidRDefault="006F486E" w:rsidP="006F486E">
      <w:pPr>
        <w:pStyle w:val="tacheseurasment"/>
        <w:spacing w:before="120" w:after="60"/>
        <w:rPr>
          <w:rFonts w:cs="Arial"/>
          <w:b/>
          <w:bCs/>
          <w:color w:val="000000"/>
          <w:szCs w:val="20"/>
        </w:rPr>
      </w:pPr>
      <w:r w:rsidRPr="007E28D7">
        <w:rPr>
          <w:rFonts w:cs="Arial"/>
          <w:b/>
          <w:bCs/>
          <w:color w:val="000000"/>
          <w:szCs w:val="20"/>
        </w:rPr>
        <w:t>Une transition à préparer pour l'entreprise</w:t>
      </w:r>
    </w:p>
    <w:p w14:paraId="54603D48" w14:textId="77777777" w:rsidR="006F486E" w:rsidRPr="007E28D7" w:rsidRDefault="006F486E" w:rsidP="006F486E">
      <w:pPr>
        <w:pStyle w:val="tacheseurasment"/>
        <w:jc w:val="both"/>
        <w:rPr>
          <w:rFonts w:cs="Arial"/>
          <w:bCs/>
          <w:color w:val="000000"/>
          <w:sz w:val="18"/>
          <w:szCs w:val="18"/>
        </w:rPr>
      </w:pPr>
      <w:r w:rsidRPr="007E28D7">
        <w:rPr>
          <w:rFonts w:cs="Arial"/>
          <w:bCs/>
          <w:color w:val="000000"/>
          <w:sz w:val="18"/>
          <w:szCs w:val="18"/>
        </w:rPr>
        <w:t>Afin d'être prêtes lorsque ce changement majeur aura lieu, les entreprises doivent identifier les acteurs concernés par cette réforme et faire un état des lieux afin de savoir quelles seront les modifications à apporter. L'entreprise devra aussi adapter son processus de traitement des factures et donc choisir une plateforme de réception des factures électroniques. Il conviendra d'intégrer ces changements dans l'organisation de la facturation et de la comptabilité de l'entreprise.</w:t>
      </w:r>
    </w:p>
    <w:p w14:paraId="0B1BE25B" w14:textId="77777777" w:rsidR="006F486E" w:rsidRPr="007E28D7" w:rsidRDefault="006F486E" w:rsidP="006F486E">
      <w:pPr>
        <w:pStyle w:val="tacheseurasment"/>
        <w:spacing w:before="120" w:after="60"/>
        <w:rPr>
          <w:rFonts w:cs="Arial"/>
          <w:b/>
          <w:bCs/>
          <w:color w:val="000000"/>
          <w:szCs w:val="20"/>
        </w:rPr>
      </w:pPr>
      <w:r>
        <w:rPr>
          <w:rFonts w:cs="Arial"/>
          <w:b/>
          <w:bCs/>
          <w:color w:val="000000"/>
          <w:szCs w:val="20"/>
        </w:rPr>
        <w:t>L</w:t>
      </w:r>
      <w:r w:rsidRPr="007E28D7">
        <w:rPr>
          <w:rFonts w:cs="Arial"/>
          <w:b/>
          <w:bCs/>
          <w:color w:val="000000"/>
          <w:szCs w:val="20"/>
        </w:rPr>
        <w:t>es objectifs précis</w:t>
      </w:r>
    </w:p>
    <w:p w14:paraId="47C76AEA" w14:textId="77777777" w:rsidR="006F486E" w:rsidRPr="007E28D7" w:rsidRDefault="006F486E" w:rsidP="006F486E">
      <w:pPr>
        <w:pStyle w:val="tacheseurasment"/>
        <w:rPr>
          <w:rFonts w:cs="Arial"/>
          <w:bCs/>
          <w:color w:val="000000"/>
          <w:sz w:val="18"/>
          <w:szCs w:val="18"/>
        </w:rPr>
      </w:pPr>
      <w:r w:rsidRPr="007E28D7">
        <w:rPr>
          <w:rFonts w:cs="Arial"/>
          <w:bCs/>
          <w:color w:val="000000"/>
          <w:sz w:val="18"/>
          <w:szCs w:val="18"/>
        </w:rPr>
        <w:t>Les objectifs de cet important changement sont multiples pour l'administration fiscale :</w:t>
      </w:r>
    </w:p>
    <w:p w14:paraId="485D7324" w14:textId="77777777" w:rsidR="006F486E" w:rsidRPr="007E28D7" w:rsidRDefault="006F486E" w:rsidP="006F486E">
      <w:pPr>
        <w:pStyle w:val="tacheseurasment"/>
        <w:numPr>
          <w:ilvl w:val="0"/>
          <w:numId w:val="5"/>
        </w:numPr>
        <w:tabs>
          <w:tab w:val="clear" w:pos="720"/>
        </w:tabs>
        <w:ind w:left="284"/>
        <w:rPr>
          <w:rFonts w:cs="Arial"/>
          <w:bCs/>
          <w:color w:val="000000"/>
          <w:sz w:val="18"/>
          <w:szCs w:val="18"/>
        </w:rPr>
      </w:pPr>
      <w:proofErr w:type="gramStart"/>
      <w:r w:rsidRPr="007E28D7">
        <w:rPr>
          <w:rFonts w:cs="Arial"/>
          <w:bCs/>
          <w:color w:val="000000"/>
          <w:sz w:val="18"/>
          <w:szCs w:val="18"/>
        </w:rPr>
        <w:t>lutter</w:t>
      </w:r>
      <w:proofErr w:type="gramEnd"/>
      <w:r w:rsidRPr="007E28D7">
        <w:rPr>
          <w:rFonts w:cs="Arial"/>
          <w:bCs/>
          <w:color w:val="000000"/>
          <w:sz w:val="18"/>
          <w:szCs w:val="18"/>
        </w:rPr>
        <w:t xml:space="preserve"> plus efficacement contre la fraude à la TVA ;</w:t>
      </w:r>
    </w:p>
    <w:p w14:paraId="441707A4" w14:textId="77777777" w:rsidR="006F486E" w:rsidRPr="007E28D7" w:rsidRDefault="006F486E" w:rsidP="006F486E">
      <w:pPr>
        <w:pStyle w:val="tacheseurasment"/>
        <w:numPr>
          <w:ilvl w:val="0"/>
          <w:numId w:val="5"/>
        </w:numPr>
        <w:tabs>
          <w:tab w:val="clear" w:pos="720"/>
        </w:tabs>
        <w:ind w:left="284"/>
        <w:rPr>
          <w:rFonts w:cs="Arial"/>
          <w:bCs/>
          <w:color w:val="000000"/>
          <w:sz w:val="18"/>
          <w:szCs w:val="18"/>
        </w:rPr>
      </w:pPr>
      <w:proofErr w:type="gramStart"/>
      <w:r w:rsidRPr="007E28D7">
        <w:rPr>
          <w:rFonts w:cs="Arial"/>
          <w:bCs/>
          <w:color w:val="000000"/>
          <w:sz w:val="18"/>
          <w:szCs w:val="18"/>
        </w:rPr>
        <w:t>améliorer</w:t>
      </w:r>
      <w:proofErr w:type="gramEnd"/>
      <w:r w:rsidRPr="007E28D7">
        <w:rPr>
          <w:rFonts w:cs="Arial"/>
          <w:bCs/>
          <w:color w:val="000000"/>
          <w:sz w:val="18"/>
          <w:szCs w:val="18"/>
        </w:rPr>
        <w:t xml:space="preserve"> la compétitivité des entreprises grâce à la dématérialisation. Celle-ci permet une diminution des délais de paiement et donc une baisse de la charge administrative ;</w:t>
      </w:r>
    </w:p>
    <w:p w14:paraId="428CF712" w14:textId="77777777" w:rsidR="006F486E" w:rsidRPr="007E28D7" w:rsidRDefault="006F486E" w:rsidP="006F486E">
      <w:pPr>
        <w:pStyle w:val="tacheseurasment"/>
        <w:numPr>
          <w:ilvl w:val="0"/>
          <w:numId w:val="5"/>
        </w:numPr>
        <w:tabs>
          <w:tab w:val="clear" w:pos="720"/>
        </w:tabs>
        <w:ind w:left="284"/>
        <w:rPr>
          <w:rFonts w:cs="Arial"/>
          <w:bCs/>
          <w:color w:val="000000"/>
          <w:sz w:val="18"/>
          <w:szCs w:val="18"/>
        </w:rPr>
      </w:pPr>
      <w:proofErr w:type="gramStart"/>
      <w:r w:rsidRPr="007E28D7">
        <w:rPr>
          <w:rFonts w:cs="Arial"/>
          <w:bCs/>
          <w:color w:val="000000"/>
          <w:sz w:val="18"/>
          <w:szCs w:val="18"/>
        </w:rPr>
        <w:t>simplifier</w:t>
      </w:r>
      <w:proofErr w:type="gramEnd"/>
      <w:r w:rsidRPr="007E28D7">
        <w:rPr>
          <w:rFonts w:cs="Arial"/>
          <w:bCs/>
          <w:color w:val="000000"/>
          <w:sz w:val="18"/>
          <w:szCs w:val="18"/>
        </w:rPr>
        <w:t>, à terme, les obligations déclaratives de TVA grâce au pré-remplissage des déclarations ;</w:t>
      </w:r>
    </w:p>
    <w:p w14:paraId="34EF34DF" w14:textId="77777777" w:rsidR="006F486E" w:rsidRPr="007E28D7" w:rsidRDefault="006F486E" w:rsidP="006F486E">
      <w:pPr>
        <w:pStyle w:val="tacheseurasment"/>
        <w:numPr>
          <w:ilvl w:val="0"/>
          <w:numId w:val="5"/>
        </w:numPr>
        <w:tabs>
          <w:tab w:val="clear" w:pos="720"/>
        </w:tabs>
        <w:ind w:left="284"/>
        <w:rPr>
          <w:rFonts w:cs="Arial"/>
          <w:bCs/>
          <w:color w:val="000000"/>
          <w:sz w:val="18"/>
          <w:szCs w:val="18"/>
        </w:rPr>
      </w:pPr>
      <w:proofErr w:type="gramStart"/>
      <w:r w:rsidRPr="007E28D7">
        <w:rPr>
          <w:rFonts w:cs="Arial"/>
          <w:bCs/>
          <w:color w:val="000000"/>
          <w:sz w:val="18"/>
          <w:szCs w:val="18"/>
        </w:rPr>
        <w:t>améliorer</w:t>
      </w:r>
      <w:proofErr w:type="gramEnd"/>
      <w:r w:rsidRPr="007E28D7">
        <w:rPr>
          <w:rFonts w:cs="Arial"/>
          <w:bCs/>
          <w:color w:val="000000"/>
          <w:sz w:val="18"/>
          <w:szCs w:val="18"/>
        </w:rPr>
        <w:t xml:space="preserve"> la connaissance de l'activité des entreprises en temps réel.</w:t>
      </w:r>
    </w:p>
    <w:p w14:paraId="57CC25DA" w14:textId="77777777" w:rsidR="006F486E" w:rsidRDefault="006F486E" w:rsidP="006F486E">
      <w:pPr>
        <w:pStyle w:val="tacheseurasment"/>
        <w:ind w:left="284" w:hanging="360"/>
        <w:rPr>
          <w:rFonts w:cs="Arial"/>
          <w:bCs/>
          <w:color w:val="000000"/>
          <w:szCs w:val="20"/>
        </w:rPr>
      </w:pPr>
    </w:p>
    <w:p w14:paraId="357DFEF6" w14:textId="77777777" w:rsidR="001B730E" w:rsidRDefault="001B730E" w:rsidP="006F486E"/>
    <w:p w14:paraId="14C35241" w14:textId="77777777" w:rsidR="00E966FD" w:rsidRDefault="00E966FD" w:rsidP="006F486E"/>
    <w:p w14:paraId="74D93EAF" w14:textId="77777777" w:rsidR="00E966FD" w:rsidRDefault="00E966FD" w:rsidP="00E966FD">
      <w:pPr>
        <w:tabs>
          <w:tab w:val="left" w:pos="144"/>
          <w:tab w:val="left" w:pos="864"/>
          <w:tab w:val="left" w:pos="1584"/>
          <w:tab w:val="left" w:pos="2304"/>
          <w:tab w:val="left" w:pos="3024"/>
          <w:tab w:val="left" w:pos="3744"/>
          <w:tab w:val="left" w:pos="4464"/>
          <w:tab w:val="left" w:pos="5184"/>
          <w:tab w:val="left" w:pos="5904"/>
          <w:tab w:val="left" w:pos="6624"/>
        </w:tabs>
        <w:spacing w:before="120" w:after="120"/>
        <w:jc w:val="both"/>
        <w:rPr>
          <w:rFonts w:cs="Arial"/>
          <w:b/>
          <w:sz w:val="24"/>
        </w:rPr>
      </w:pPr>
      <w:r>
        <w:rPr>
          <w:rFonts w:cs="Arial"/>
          <w:b/>
          <w:sz w:val="24"/>
        </w:rPr>
        <w:t>Réponses</w:t>
      </w:r>
    </w:p>
    <w:p w14:paraId="1CCAADDB" w14:textId="77777777" w:rsidR="00E966FD" w:rsidRPr="00E966FD" w:rsidRDefault="00E966FD" w:rsidP="00E966FD">
      <w:pPr>
        <w:pStyle w:val="tacheseurasment"/>
        <w:numPr>
          <w:ilvl w:val="0"/>
          <w:numId w:val="7"/>
        </w:numPr>
        <w:rPr>
          <w:rFonts w:cs="Arial"/>
          <w:b/>
          <w:color w:val="000000"/>
          <w:sz w:val="22"/>
          <w:szCs w:val="22"/>
        </w:rPr>
      </w:pPr>
      <w:r w:rsidRPr="00E966FD">
        <w:rPr>
          <w:rFonts w:cs="Arial"/>
          <w:b/>
          <w:color w:val="000000"/>
          <w:sz w:val="22"/>
          <w:szCs w:val="22"/>
        </w:rPr>
        <w:t>À partir de quelles dates les entreprises seront-elles tenues d’émettre et de recevoir des factures électroniques ?</w:t>
      </w:r>
    </w:p>
    <w:p w14:paraId="6A173A2E" w14:textId="77777777" w:rsidR="00E966FD" w:rsidRDefault="00E966FD" w:rsidP="00E966FD">
      <w:pPr>
        <w:pStyle w:val="tacheseurasment"/>
        <w:rPr>
          <w:rFonts w:cs="Arial"/>
          <w:bCs/>
          <w:color w:val="000000"/>
          <w:szCs w:val="20"/>
        </w:rPr>
      </w:pPr>
    </w:p>
    <w:p w14:paraId="1CA0E892" w14:textId="77777777" w:rsidR="00E966FD" w:rsidRDefault="00E966FD" w:rsidP="00E966FD">
      <w:pPr>
        <w:pStyle w:val="tacheseurasment"/>
        <w:rPr>
          <w:rFonts w:cs="Arial"/>
          <w:bCs/>
          <w:color w:val="000000"/>
          <w:szCs w:val="20"/>
        </w:rPr>
      </w:pPr>
    </w:p>
    <w:p w14:paraId="7962C1CC" w14:textId="77777777" w:rsidR="00E966FD" w:rsidRDefault="00E966FD" w:rsidP="00E966FD">
      <w:pPr>
        <w:pStyle w:val="tacheseurasment"/>
        <w:rPr>
          <w:rFonts w:cs="Arial"/>
          <w:bCs/>
          <w:color w:val="000000"/>
          <w:szCs w:val="20"/>
        </w:rPr>
      </w:pPr>
    </w:p>
    <w:p w14:paraId="5D8B533B" w14:textId="77777777" w:rsidR="00E966FD" w:rsidRDefault="00E966FD" w:rsidP="00E966FD">
      <w:pPr>
        <w:pStyle w:val="tacheseurasment"/>
        <w:rPr>
          <w:rFonts w:cs="Arial"/>
          <w:bCs/>
          <w:color w:val="000000"/>
          <w:szCs w:val="20"/>
        </w:rPr>
      </w:pPr>
    </w:p>
    <w:p w14:paraId="28F5727F" w14:textId="77777777" w:rsidR="00E966FD" w:rsidRDefault="00E966FD" w:rsidP="00E966FD">
      <w:pPr>
        <w:pStyle w:val="tacheseurasment"/>
        <w:rPr>
          <w:rFonts w:cs="Arial"/>
          <w:bCs/>
          <w:color w:val="000000"/>
          <w:szCs w:val="20"/>
        </w:rPr>
      </w:pPr>
    </w:p>
    <w:p w14:paraId="1A924413" w14:textId="77777777" w:rsidR="00E966FD" w:rsidRDefault="00E966FD" w:rsidP="00E966FD">
      <w:pPr>
        <w:pStyle w:val="tacheseurasment"/>
        <w:rPr>
          <w:rFonts w:cs="Arial"/>
          <w:bCs/>
          <w:color w:val="000000"/>
          <w:szCs w:val="20"/>
        </w:rPr>
      </w:pPr>
    </w:p>
    <w:p w14:paraId="57C7AA8B" w14:textId="77777777" w:rsidR="00E966FD" w:rsidRPr="00C573BD" w:rsidRDefault="00E966FD" w:rsidP="00E966FD">
      <w:pPr>
        <w:pStyle w:val="tacheseurasment"/>
        <w:rPr>
          <w:rFonts w:cs="Arial"/>
          <w:bCs/>
          <w:color w:val="000000"/>
          <w:szCs w:val="20"/>
        </w:rPr>
      </w:pPr>
    </w:p>
    <w:p w14:paraId="267C7903" w14:textId="77777777" w:rsidR="00E966FD" w:rsidRPr="00E966FD" w:rsidRDefault="00E966FD" w:rsidP="00E966FD">
      <w:pPr>
        <w:pStyle w:val="tacheseurasment"/>
        <w:numPr>
          <w:ilvl w:val="0"/>
          <w:numId w:val="7"/>
        </w:numPr>
        <w:rPr>
          <w:rFonts w:cs="Arial"/>
          <w:b/>
          <w:color w:val="000000"/>
          <w:sz w:val="22"/>
          <w:szCs w:val="22"/>
        </w:rPr>
      </w:pPr>
      <w:r w:rsidRPr="00E966FD">
        <w:rPr>
          <w:rFonts w:cs="Arial"/>
          <w:b/>
          <w:color w:val="000000"/>
          <w:sz w:val="22"/>
          <w:szCs w:val="22"/>
        </w:rPr>
        <w:t>Quelles opérations sont concernées par l’obligation de facturation électronique ?</w:t>
      </w:r>
    </w:p>
    <w:p w14:paraId="1F5C7155" w14:textId="77777777" w:rsidR="00E966FD" w:rsidRDefault="00E966FD" w:rsidP="00E966FD">
      <w:pPr>
        <w:pStyle w:val="tacheseurasment"/>
        <w:rPr>
          <w:rFonts w:cs="Arial"/>
          <w:bCs/>
          <w:color w:val="000000"/>
          <w:szCs w:val="20"/>
        </w:rPr>
      </w:pPr>
    </w:p>
    <w:p w14:paraId="69B489D0" w14:textId="77777777" w:rsidR="00E966FD" w:rsidRDefault="00E966FD" w:rsidP="00E966FD">
      <w:pPr>
        <w:pStyle w:val="tacheseurasment"/>
        <w:rPr>
          <w:rFonts w:cs="Arial"/>
          <w:bCs/>
          <w:color w:val="000000"/>
          <w:szCs w:val="20"/>
        </w:rPr>
      </w:pPr>
    </w:p>
    <w:p w14:paraId="6856AB2A" w14:textId="77777777" w:rsidR="00E966FD" w:rsidRDefault="00E966FD" w:rsidP="00E966FD">
      <w:pPr>
        <w:pStyle w:val="tacheseurasment"/>
        <w:rPr>
          <w:rFonts w:cs="Arial"/>
          <w:bCs/>
          <w:color w:val="000000"/>
          <w:szCs w:val="20"/>
        </w:rPr>
      </w:pPr>
    </w:p>
    <w:p w14:paraId="044C059C" w14:textId="77777777" w:rsidR="00E966FD" w:rsidRDefault="00E966FD" w:rsidP="00E966FD">
      <w:pPr>
        <w:pStyle w:val="tacheseurasment"/>
        <w:rPr>
          <w:rFonts w:cs="Arial"/>
          <w:bCs/>
          <w:color w:val="000000"/>
          <w:szCs w:val="20"/>
        </w:rPr>
      </w:pPr>
    </w:p>
    <w:p w14:paraId="09A115D9" w14:textId="77777777" w:rsidR="00E966FD" w:rsidRDefault="00E966FD" w:rsidP="00E966FD">
      <w:pPr>
        <w:pStyle w:val="tacheseurasment"/>
        <w:rPr>
          <w:rFonts w:cs="Arial"/>
          <w:bCs/>
          <w:color w:val="000000"/>
          <w:szCs w:val="20"/>
        </w:rPr>
      </w:pPr>
    </w:p>
    <w:p w14:paraId="561B9107" w14:textId="77777777" w:rsidR="00E966FD" w:rsidRDefault="00E966FD" w:rsidP="00E966FD">
      <w:pPr>
        <w:pStyle w:val="tacheseurasment"/>
        <w:rPr>
          <w:rFonts w:cs="Arial"/>
          <w:bCs/>
          <w:color w:val="000000"/>
          <w:szCs w:val="20"/>
        </w:rPr>
      </w:pPr>
    </w:p>
    <w:p w14:paraId="25CF9353" w14:textId="77777777" w:rsidR="00E966FD" w:rsidRDefault="00E966FD" w:rsidP="00E966FD">
      <w:pPr>
        <w:pStyle w:val="tacheseurasment"/>
        <w:rPr>
          <w:rFonts w:cs="Arial"/>
          <w:bCs/>
          <w:color w:val="000000"/>
          <w:szCs w:val="20"/>
        </w:rPr>
      </w:pPr>
    </w:p>
    <w:p w14:paraId="4E586D5D" w14:textId="77777777" w:rsidR="00E966FD" w:rsidRPr="00C573BD" w:rsidRDefault="00E966FD" w:rsidP="00E966FD">
      <w:pPr>
        <w:pStyle w:val="tacheseurasment"/>
        <w:rPr>
          <w:rFonts w:cs="Arial"/>
          <w:bCs/>
          <w:color w:val="000000"/>
          <w:szCs w:val="20"/>
        </w:rPr>
      </w:pPr>
    </w:p>
    <w:p w14:paraId="103B2263" w14:textId="77777777" w:rsidR="00E966FD" w:rsidRPr="00E966FD" w:rsidRDefault="00E966FD" w:rsidP="00E966FD">
      <w:pPr>
        <w:pStyle w:val="tacheseurasment"/>
        <w:numPr>
          <w:ilvl w:val="0"/>
          <w:numId w:val="7"/>
        </w:numPr>
        <w:rPr>
          <w:rFonts w:cs="Arial"/>
          <w:b/>
          <w:color w:val="000000"/>
          <w:sz w:val="22"/>
          <w:szCs w:val="22"/>
        </w:rPr>
      </w:pPr>
      <w:r w:rsidRPr="00E966FD">
        <w:rPr>
          <w:rFonts w:cs="Arial"/>
          <w:b/>
          <w:color w:val="000000"/>
          <w:sz w:val="22"/>
          <w:szCs w:val="22"/>
        </w:rPr>
        <w:t>Quelles nouvelles mentions obligatoires devront figurer sur les factures électroniques ?</w:t>
      </w:r>
    </w:p>
    <w:p w14:paraId="0B3DB594" w14:textId="77777777" w:rsidR="00E966FD" w:rsidRDefault="00E966FD" w:rsidP="00E966FD">
      <w:pPr>
        <w:pStyle w:val="tacheseurasment"/>
        <w:rPr>
          <w:rFonts w:cs="Arial"/>
          <w:bCs/>
          <w:color w:val="000000"/>
          <w:szCs w:val="20"/>
        </w:rPr>
      </w:pPr>
    </w:p>
    <w:p w14:paraId="11C5EFFE" w14:textId="77777777" w:rsidR="00E966FD" w:rsidRDefault="00E966FD" w:rsidP="00E966FD">
      <w:pPr>
        <w:pStyle w:val="tacheseurasment"/>
        <w:rPr>
          <w:rFonts w:cs="Arial"/>
          <w:bCs/>
          <w:color w:val="000000"/>
          <w:szCs w:val="20"/>
        </w:rPr>
      </w:pPr>
    </w:p>
    <w:p w14:paraId="6B70E08B" w14:textId="77777777" w:rsidR="00E966FD" w:rsidRDefault="00E966FD" w:rsidP="00E966FD">
      <w:pPr>
        <w:pStyle w:val="tacheseurasment"/>
        <w:rPr>
          <w:rFonts w:cs="Arial"/>
          <w:bCs/>
          <w:color w:val="000000"/>
          <w:szCs w:val="20"/>
        </w:rPr>
      </w:pPr>
    </w:p>
    <w:p w14:paraId="48773BFD" w14:textId="77777777" w:rsidR="00E966FD" w:rsidRDefault="00E966FD" w:rsidP="00E966FD">
      <w:pPr>
        <w:pStyle w:val="tacheseurasment"/>
        <w:rPr>
          <w:rFonts w:cs="Arial"/>
          <w:bCs/>
          <w:color w:val="000000"/>
          <w:szCs w:val="20"/>
        </w:rPr>
      </w:pPr>
    </w:p>
    <w:p w14:paraId="4A51D0C4" w14:textId="77777777" w:rsidR="00E966FD" w:rsidRDefault="00E966FD" w:rsidP="00E966FD">
      <w:pPr>
        <w:pStyle w:val="tacheseurasment"/>
        <w:rPr>
          <w:rFonts w:cs="Arial"/>
          <w:bCs/>
          <w:color w:val="000000"/>
          <w:szCs w:val="20"/>
        </w:rPr>
      </w:pPr>
    </w:p>
    <w:p w14:paraId="750C74B0" w14:textId="77777777" w:rsidR="00E966FD" w:rsidRDefault="00E966FD" w:rsidP="00E966FD">
      <w:pPr>
        <w:pStyle w:val="tacheseurasment"/>
        <w:rPr>
          <w:rFonts w:cs="Arial"/>
          <w:bCs/>
          <w:color w:val="000000"/>
          <w:szCs w:val="20"/>
        </w:rPr>
      </w:pPr>
    </w:p>
    <w:p w14:paraId="75028B23" w14:textId="77777777" w:rsidR="00E966FD" w:rsidRDefault="00E966FD" w:rsidP="00E966FD">
      <w:pPr>
        <w:pStyle w:val="tacheseurasment"/>
        <w:rPr>
          <w:rFonts w:cs="Arial"/>
          <w:bCs/>
          <w:color w:val="000000"/>
          <w:szCs w:val="20"/>
        </w:rPr>
      </w:pPr>
    </w:p>
    <w:p w14:paraId="16AEDFA5" w14:textId="77777777" w:rsidR="00E966FD" w:rsidRPr="00C573BD" w:rsidRDefault="00E966FD" w:rsidP="00E966FD">
      <w:pPr>
        <w:pStyle w:val="tacheseurasment"/>
        <w:rPr>
          <w:rFonts w:cs="Arial"/>
          <w:bCs/>
          <w:color w:val="000000"/>
          <w:szCs w:val="20"/>
        </w:rPr>
      </w:pPr>
    </w:p>
    <w:p w14:paraId="47A2EF94" w14:textId="77777777" w:rsidR="00E966FD" w:rsidRPr="00E966FD" w:rsidRDefault="00E966FD" w:rsidP="00E966FD">
      <w:pPr>
        <w:pStyle w:val="tacheseurasment"/>
        <w:numPr>
          <w:ilvl w:val="0"/>
          <w:numId w:val="7"/>
        </w:numPr>
        <w:rPr>
          <w:rFonts w:cs="Arial"/>
          <w:b/>
          <w:color w:val="000000"/>
          <w:sz w:val="22"/>
          <w:szCs w:val="22"/>
        </w:rPr>
      </w:pPr>
      <w:r w:rsidRPr="00E966FD">
        <w:rPr>
          <w:rFonts w:cs="Arial"/>
          <w:b/>
          <w:color w:val="000000"/>
          <w:sz w:val="22"/>
          <w:szCs w:val="22"/>
        </w:rPr>
        <w:t>Quels sont les principaux objectifs poursuivis à travers la généralisation de la facturation électronique ?</w:t>
      </w:r>
    </w:p>
    <w:p w14:paraId="76CCF87C" w14:textId="77777777" w:rsidR="00E966FD" w:rsidRDefault="00E966FD" w:rsidP="006F486E"/>
    <w:p w14:paraId="2D88099A" w14:textId="77777777" w:rsidR="00E966FD" w:rsidRDefault="00E966FD" w:rsidP="006F486E"/>
    <w:p w14:paraId="304D6C8A" w14:textId="77777777" w:rsidR="00E966FD" w:rsidRDefault="00E966FD" w:rsidP="006F486E"/>
    <w:p w14:paraId="18DC058C" w14:textId="77777777" w:rsidR="00E966FD" w:rsidRDefault="00E966FD" w:rsidP="006F486E"/>
    <w:p w14:paraId="27558400" w14:textId="77777777" w:rsidR="00E966FD" w:rsidRDefault="00E966FD" w:rsidP="006F486E"/>
    <w:p w14:paraId="54762781" w14:textId="77777777" w:rsidR="00E966FD" w:rsidRDefault="00E966FD" w:rsidP="006F486E"/>
    <w:p w14:paraId="64163F36" w14:textId="77777777" w:rsidR="00E966FD" w:rsidRPr="006F486E" w:rsidRDefault="00E966FD" w:rsidP="006F486E"/>
    <w:sectPr w:rsidR="00E966FD" w:rsidRPr="006F486E" w:rsidSect="001B730E">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800"/>
    <w:multiLevelType w:val="multilevel"/>
    <w:tmpl w:val="E80E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D2DD4"/>
    <w:multiLevelType w:val="hybridMultilevel"/>
    <w:tmpl w:val="D194C88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19917EA"/>
    <w:multiLevelType w:val="multilevel"/>
    <w:tmpl w:val="540A9A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F081340"/>
    <w:multiLevelType w:val="hybridMultilevel"/>
    <w:tmpl w:val="79AC572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2F20FE1"/>
    <w:multiLevelType w:val="hybridMultilevel"/>
    <w:tmpl w:val="C9CC270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8844192"/>
    <w:multiLevelType w:val="multilevel"/>
    <w:tmpl w:val="6F6623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7CC5591D"/>
    <w:multiLevelType w:val="multilevel"/>
    <w:tmpl w:val="E7C29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950629238">
    <w:abstractNumId w:val="4"/>
  </w:num>
  <w:num w:numId="2" w16cid:durableId="1602032016">
    <w:abstractNumId w:val="5"/>
  </w:num>
  <w:num w:numId="3" w16cid:durableId="61608978">
    <w:abstractNumId w:val="6"/>
  </w:num>
  <w:num w:numId="4" w16cid:durableId="186214260">
    <w:abstractNumId w:val="2"/>
  </w:num>
  <w:num w:numId="5" w16cid:durableId="1180200501">
    <w:abstractNumId w:val="0"/>
  </w:num>
  <w:num w:numId="6" w16cid:durableId="1927495691">
    <w:abstractNumId w:val="1"/>
  </w:num>
  <w:num w:numId="7" w16cid:durableId="1934128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0E"/>
    <w:rsid w:val="001B730E"/>
    <w:rsid w:val="00260A5A"/>
    <w:rsid w:val="004517BF"/>
    <w:rsid w:val="006F486E"/>
    <w:rsid w:val="00844C5B"/>
    <w:rsid w:val="00A866E6"/>
    <w:rsid w:val="00E966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319D"/>
  <w15:chartTrackingRefBased/>
  <w15:docId w15:val="{D25F4EC9-0882-4B05-BF53-D26222C7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0E"/>
    <w:pPr>
      <w:spacing w:after="0" w:line="240" w:lineRule="auto"/>
    </w:pPr>
    <w:rPr>
      <w:rFonts w:ascii="Arial" w:eastAsia="Calibri" w:hAnsi="Arial" w:cs="Times New Roman"/>
      <w:sz w:val="20"/>
    </w:rPr>
  </w:style>
  <w:style w:type="paragraph" w:styleId="Titre2">
    <w:name w:val="heading 2"/>
    <w:basedOn w:val="tacheseurasment"/>
    <w:link w:val="Titre2Car"/>
    <w:qFormat/>
    <w:rsid w:val="001B730E"/>
    <w:pPr>
      <w:spacing w:after="120"/>
      <w:outlineLvl w:val="1"/>
    </w:pPr>
    <w:rPr>
      <w:rFonts w:ascii="Arial Black" w:hAnsi="Arial Black" w:cs="Arial"/>
      <w:b/>
      <w:color w:val="00000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B730E"/>
    <w:rPr>
      <w:rFonts w:ascii="Arial Black" w:eastAsia="Times New Roman" w:hAnsi="Arial Black" w:cs="Arial"/>
      <w:b/>
      <w:color w:val="000000"/>
      <w:sz w:val="24"/>
      <w:szCs w:val="20"/>
      <w:lang w:eastAsia="fr-FR"/>
    </w:rPr>
  </w:style>
  <w:style w:type="paragraph" w:customStyle="1" w:styleId="tacheseurasment">
    <w:name w:val="taches eurasment"/>
    <w:basedOn w:val="Normal"/>
    <w:rsid w:val="001B730E"/>
    <w:rPr>
      <w:rFonts w:eastAsia="Times New Roman"/>
      <w:szCs w:val="24"/>
      <w:lang w:eastAsia="fr-FR"/>
    </w:rPr>
  </w:style>
  <w:style w:type="table" w:styleId="Grilledutableau">
    <w:name w:val="Table Grid"/>
    <w:basedOn w:val="TableauNormal"/>
    <w:rsid w:val="001B730E"/>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nhideWhenUsed/>
    <w:rsid w:val="006F4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ntreprendre.service-public.gouv.fr/"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718</Words>
  <Characters>4149</Characters>
  <Application>Microsoft Office Word</Application>
  <DocSecurity>0</DocSecurity>
  <Lines>66</Lines>
  <Paragraphs>51</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6</cp:revision>
  <dcterms:created xsi:type="dcterms:W3CDTF">2023-03-11T20:03:00Z</dcterms:created>
  <dcterms:modified xsi:type="dcterms:W3CDTF">2026-01-25T19:43:00Z</dcterms:modified>
</cp:coreProperties>
</file>