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04"/>
        <w:gridCol w:w="851"/>
        <w:gridCol w:w="901"/>
      </w:tblGrid>
      <w:tr w:rsidR="00F4254A" w:rsidRPr="00C22356" w14:paraId="6DF597EB" w14:textId="77777777" w:rsidTr="00270A8D">
        <w:trPr>
          <w:trHeight w:val="386"/>
        </w:trPr>
        <w:tc>
          <w:tcPr>
            <w:tcW w:w="8075" w:type="dxa"/>
            <w:gridSpan w:val="2"/>
            <w:shd w:val="clear" w:color="auto" w:fill="92D050"/>
            <w:vAlign w:val="center"/>
          </w:tcPr>
          <w:p w14:paraId="13CC7EF9" w14:textId="77777777" w:rsidR="00F4254A" w:rsidRPr="00956391" w:rsidRDefault="00F4254A" w:rsidP="00F4254A">
            <w:pPr>
              <w:pStyle w:val="Titre2"/>
              <w:spacing w:after="0"/>
              <w:jc w:val="center"/>
              <w:rPr>
                <w:rFonts w:ascii="Arial" w:hAnsi="Arial"/>
                <w:sz w:val="28"/>
                <w:szCs w:val="22"/>
              </w:rPr>
            </w:pPr>
            <w:r w:rsidRPr="00956391">
              <w:rPr>
                <w:rFonts w:ascii="Arial" w:hAnsi="Arial"/>
                <w:sz w:val="28"/>
                <w:szCs w:val="22"/>
              </w:rPr>
              <w:t xml:space="preserve">Mission </w:t>
            </w:r>
            <w:r>
              <w:rPr>
                <w:rFonts w:ascii="Arial" w:hAnsi="Arial"/>
                <w:sz w:val="28"/>
                <w:szCs w:val="22"/>
              </w:rPr>
              <w:t>6</w:t>
            </w:r>
            <w:r w:rsidRPr="0095639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–</w:t>
            </w:r>
            <w:r w:rsidRPr="0095639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Préparer le passage à la facture électronique</w:t>
            </w:r>
          </w:p>
        </w:tc>
        <w:tc>
          <w:tcPr>
            <w:tcW w:w="1752" w:type="dxa"/>
            <w:gridSpan w:val="2"/>
            <w:shd w:val="clear" w:color="auto" w:fill="92D050"/>
            <w:vAlign w:val="center"/>
          </w:tcPr>
          <w:p w14:paraId="272FC06B" w14:textId="77777777" w:rsidR="00F4254A" w:rsidRPr="00C22356" w:rsidRDefault="00F4254A" w:rsidP="00270A8D">
            <w:pPr>
              <w:jc w:val="center"/>
              <w:rPr>
                <w:b/>
              </w:rPr>
            </w:pPr>
            <w:r>
              <w:rPr>
                <w:noProof/>
                <w:color w:val="000000" w:themeColor="text1"/>
                <w:szCs w:val="20"/>
              </w:rPr>
              <w:drawing>
                <wp:inline distT="0" distB="0" distL="0" distR="0" wp14:anchorId="20A7B07E" wp14:editId="013DB578">
                  <wp:extent cx="1025651" cy="1056640"/>
                  <wp:effectExtent l="0" t="0" r="3175" b="0"/>
                  <wp:docPr id="1849532651" name="Image 12" descr="Une image contenant texte, Police, Graphique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32651" name="Image 12" descr="Une image contenant texte, Police, Graphique, graphism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982" cy="105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54A" w:rsidRPr="00C22356" w14:paraId="2B7D958B" w14:textId="77777777" w:rsidTr="00270A8D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271" w:type="dxa"/>
            <w:shd w:val="clear" w:color="auto" w:fill="92D050"/>
            <w:vAlign w:val="center"/>
          </w:tcPr>
          <w:p w14:paraId="01D2046B" w14:textId="6B8EFFE8" w:rsidR="00F4254A" w:rsidRPr="006C7177" w:rsidRDefault="00F4254A" w:rsidP="00270A8D">
            <w:r w:rsidRPr="006C7177">
              <w:t>Durée</w:t>
            </w:r>
            <w:r>
              <w:t> : 1 h</w:t>
            </w:r>
          </w:p>
        </w:tc>
        <w:tc>
          <w:tcPr>
            <w:tcW w:w="6804" w:type="dxa"/>
            <w:shd w:val="clear" w:color="auto" w:fill="92D050"/>
          </w:tcPr>
          <w:p w14:paraId="71001BAA" w14:textId="77777777" w:rsidR="00F4254A" w:rsidRPr="006C7177" w:rsidRDefault="00F4254A" w:rsidP="00270A8D">
            <w:pPr>
              <w:jc w:val="center"/>
            </w:pPr>
            <w:r w:rsidRPr="0046522C">
              <w:rPr>
                <w:bCs/>
                <w:noProof/>
              </w:rPr>
              <w:drawing>
                <wp:inline distT="0" distB="0" distL="0" distR="0" wp14:anchorId="677D2BF4" wp14:editId="480C1851">
                  <wp:extent cx="324000" cy="324000"/>
                  <wp:effectExtent l="0" t="0" r="0" b="0"/>
                  <wp:docPr id="92310556" name="Graphique 9231055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22C">
              <w:rPr>
                <w:bCs/>
              </w:rPr>
              <w:t xml:space="preserve">ou </w:t>
            </w:r>
            <w:r w:rsidRPr="0046522C">
              <w:rPr>
                <w:bCs/>
                <w:noProof/>
              </w:rPr>
              <w:drawing>
                <wp:inline distT="0" distB="0" distL="0" distR="0" wp14:anchorId="130DABC1" wp14:editId="0E82B3CD">
                  <wp:extent cx="360000" cy="360000"/>
                  <wp:effectExtent l="0" t="0" r="0" b="2540"/>
                  <wp:docPr id="1800619643" name="Graphique 1800619643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C323BB4" w14:textId="77777777" w:rsidR="00F4254A" w:rsidRPr="00060433" w:rsidRDefault="00F4254A" w:rsidP="00270A8D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47388B26" wp14:editId="5F3F1C2D">
                  <wp:extent cx="362802" cy="360000"/>
                  <wp:effectExtent l="0" t="0" r="0" b="2540"/>
                  <wp:docPr id="507620293" name="Image 1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20293" name="Image 1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0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dxa"/>
            <w:shd w:val="clear" w:color="auto" w:fill="92D050"/>
            <w:vAlign w:val="center"/>
          </w:tcPr>
          <w:p w14:paraId="1E292503" w14:textId="77777777" w:rsidR="00F4254A" w:rsidRPr="00060433" w:rsidRDefault="00F4254A" w:rsidP="00270A8D">
            <w:pPr>
              <w:jc w:val="center"/>
              <w:rPr>
                <w:bCs/>
              </w:rPr>
            </w:pPr>
            <w:r w:rsidRPr="00060433">
              <w:rPr>
                <w:bCs/>
              </w:rPr>
              <w:t>Source</w:t>
            </w:r>
          </w:p>
        </w:tc>
      </w:tr>
    </w:tbl>
    <w:p w14:paraId="0BDECAD8" w14:textId="77777777" w:rsidR="00F4254A" w:rsidRPr="002E5339" w:rsidRDefault="00F4254A" w:rsidP="00F4254A">
      <w:pPr>
        <w:spacing w:before="360" w:after="120"/>
        <w:jc w:val="both"/>
        <w:rPr>
          <w:b/>
          <w:sz w:val="24"/>
          <w:szCs w:val="24"/>
        </w:rPr>
      </w:pPr>
      <w:r>
        <w:rPr>
          <w:iCs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328CF5B" wp14:editId="1FA783D8">
            <wp:simplePos x="0" y="0"/>
            <wp:positionH relativeFrom="column">
              <wp:posOffset>4161</wp:posOffset>
            </wp:positionH>
            <wp:positionV relativeFrom="paragraph">
              <wp:posOffset>213711</wp:posOffset>
            </wp:positionV>
            <wp:extent cx="2061845" cy="2058035"/>
            <wp:effectExtent l="0" t="0" r="0" b="0"/>
            <wp:wrapSquare wrapText="bothSides"/>
            <wp:docPr id="621254353" name="Image 1" descr="Une image contenant neige, plein air, skier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254353" name="Image 1" descr="Une image contenant neige, plein air, skier, text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Votre société</w:t>
      </w:r>
    </w:p>
    <w:p w14:paraId="7D186FAC" w14:textId="77777777" w:rsidR="00F4254A" w:rsidRDefault="00F4254A" w:rsidP="00F4254A">
      <w:pPr>
        <w:spacing w:before="120"/>
        <w:jc w:val="both"/>
        <w:rPr>
          <w:iCs/>
          <w:szCs w:val="20"/>
        </w:rPr>
      </w:pPr>
      <w:r w:rsidRPr="00B85FC7">
        <w:rPr>
          <w:b/>
          <w:bCs/>
          <w:iCs/>
          <w:szCs w:val="20"/>
        </w:rPr>
        <w:t>La société Black-Ice</w:t>
      </w:r>
      <w:r w:rsidRPr="00B85FC7">
        <w:rPr>
          <w:iCs/>
          <w:szCs w:val="20"/>
        </w:rPr>
        <w:t xml:space="preserve"> conçoit, fabrique et commercialise du matériel de montagne innovant — sacs à dos techniques, piolets, crampons, broches à glace, et divers équipements destinés aux alpinistes et pratiquants d’activités Outdoor.</w:t>
      </w:r>
    </w:p>
    <w:p w14:paraId="2D8103F5" w14:textId="77777777" w:rsidR="00F4254A" w:rsidRPr="00B85FC7" w:rsidRDefault="00F4254A" w:rsidP="00F4254A">
      <w:pPr>
        <w:spacing w:before="120"/>
        <w:rPr>
          <w:iCs/>
          <w:szCs w:val="20"/>
        </w:rPr>
      </w:pPr>
      <w:r w:rsidRPr="00B85FC7">
        <w:rPr>
          <w:iCs/>
          <w:szCs w:val="20"/>
        </w:rPr>
        <w:t>Reconnue pour la légèreté et la robustesse de ses produits, l’entreprise a remporté plusieurs prix lors de salons spécialisés, soulignant la qualité de ses innovations et la maîtrise de ses procédés de fabrication.</w:t>
      </w:r>
    </w:p>
    <w:p w14:paraId="4981AC30" w14:textId="77777777" w:rsidR="00F4254A" w:rsidRPr="00CF74D7" w:rsidRDefault="00F4254A" w:rsidP="00F4254A">
      <w:pPr>
        <w:autoSpaceDE w:val="0"/>
        <w:autoSpaceDN w:val="0"/>
        <w:adjustRightInd w:val="0"/>
        <w:spacing w:before="120"/>
        <w:ind w:left="27"/>
        <w:rPr>
          <w:color w:val="000000"/>
          <w:szCs w:val="20"/>
        </w:rPr>
      </w:pPr>
      <w:r w:rsidRPr="00CF74D7">
        <w:rPr>
          <w:b/>
          <w:bCs/>
          <w:color w:val="000000"/>
          <w:szCs w:val="20"/>
        </w:rPr>
        <w:t xml:space="preserve">Adresse : </w:t>
      </w:r>
      <w:r w:rsidRPr="00CF74D7">
        <w:rPr>
          <w:color w:val="000000"/>
          <w:szCs w:val="20"/>
        </w:rPr>
        <w:t>18 rue des Alpins, 74700 Sallanches.</w:t>
      </w:r>
    </w:p>
    <w:p w14:paraId="0EB793A5" w14:textId="77777777" w:rsidR="00F4254A" w:rsidRDefault="00F4254A" w:rsidP="00F4254A">
      <w:pPr>
        <w:autoSpaceDE w:val="0"/>
        <w:autoSpaceDN w:val="0"/>
        <w:adjustRightInd w:val="0"/>
        <w:ind w:left="27"/>
        <w:rPr>
          <w:color w:val="000000"/>
          <w:szCs w:val="20"/>
        </w:rPr>
      </w:pPr>
      <w:r w:rsidRPr="00CF74D7">
        <w:rPr>
          <w:b/>
          <w:bCs/>
          <w:color w:val="000000"/>
          <w:szCs w:val="20"/>
        </w:rPr>
        <w:t xml:space="preserve">Tél. : </w:t>
      </w:r>
      <w:r w:rsidRPr="00CF74D7">
        <w:rPr>
          <w:color w:val="000000"/>
          <w:szCs w:val="20"/>
        </w:rPr>
        <w:t>0</w:t>
      </w:r>
      <w:r>
        <w:rPr>
          <w:color w:val="000000"/>
          <w:szCs w:val="20"/>
        </w:rPr>
        <w:t>4</w:t>
      </w:r>
      <w:r w:rsidRPr="00CF74D7">
        <w:rPr>
          <w:color w:val="000000"/>
          <w:szCs w:val="20"/>
        </w:rPr>
        <w:t xml:space="preserve"> 50 68 XX XX </w:t>
      </w:r>
      <w:r>
        <w:rPr>
          <w:color w:val="000000"/>
          <w:szCs w:val="20"/>
        </w:rPr>
        <w:t xml:space="preserve">– </w:t>
      </w:r>
    </w:p>
    <w:p w14:paraId="33A7CB21" w14:textId="77777777" w:rsidR="00F4254A" w:rsidRPr="00CF74D7" w:rsidRDefault="00F4254A" w:rsidP="00F4254A">
      <w:pPr>
        <w:autoSpaceDE w:val="0"/>
        <w:autoSpaceDN w:val="0"/>
        <w:adjustRightInd w:val="0"/>
        <w:ind w:left="27"/>
        <w:rPr>
          <w:color w:val="000000"/>
          <w:szCs w:val="20"/>
        </w:rPr>
      </w:pPr>
      <w:r w:rsidRPr="00CF74D7">
        <w:rPr>
          <w:b/>
          <w:bCs/>
          <w:color w:val="000000"/>
          <w:szCs w:val="20"/>
        </w:rPr>
        <w:t xml:space="preserve">Site : </w:t>
      </w:r>
      <w:r w:rsidRPr="00CF74D7">
        <w:rPr>
          <w:color w:val="000000"/>
          <w:szCs w:val="20"/>
        </w:rPr>
        <w:t xml:space="preserve">www.black-ice.com </w:t>
      </w:r>
      <w:r>
        <w:rPr>
          <w:color w:val="000000"/>
          <w:szCs w:val="20"/>
        </w:rPr>
        <w:t xml:space="preserve">- </w:t>
      </w:r>
      <w:r w:rsidRPr="00CF74D7">
        <w:rPr>
          <w:b/>
          <w:bCs/>
          <w:color w:val="000000"/>
          <w:szCs w:val="20"/>
        </w:rPr>
        <w:t>Mél</w:t>
      </w:r>
      <w:r>
        <w:rPr>
          <w:color w:val="000000"/>
          <w:szCs w:val="20"/>
        </w:rPr>
        <w:t> :</w:t>
      </w:r>
      <w:r w:rsidRPr="00CF74D7">
        <w:rPr>
          <w:color w:val="000000"/>
          <w:szCs w:val="20"/>
        </w:rPr>
        <w:t xml:space="preserve"> info@black-ice.com.</w:t>
      </w:r>
    </w:p>
    <w:p w14:paraId="47286E94" w14:textId="77777777" w:rsidR="00F4254A" w:rsidRPr="00CF74D7" w:rsidRDefault="00F4254A" w:rsidP="00F4254A">
      <w:pPr>
        <w:autoSpaceDE w:val="0"/>
        <w:autoSpaceDN w:val="0"/>
        <w:adjustRightInd w:val="0"/>
        <w:ind w:left="27"/>
        <w:rPr>
          <w:rFonts w:cs="Arial"/>
          <w:sz w:val="22"/>
          <w:szCs w:val="24"/>
        </w:rPr>
      </w:pPr>
      <w:r w:rsidRPr="00CF74D7">
        <w:rPr>
          <w:b/>
          <w:bCs/>
          <w:color w:val="000000"/>
          <w:szCs w:val="20"/>
        </w:rPr>
        <w:t xml:space="preserve">SIRET : </w:t>
      </w:r>
      <w:r w:rsidRPr="00CF74D7">
        <w:rPr>
          <w:color w:val="000000"/>
          <w:szCs w:val="20"/>
        </w:rPr>
        <w:t>832 450 765 68242</w:t>
      </w:r>
      <w:r>
        <w:rPr>
          <w:color w:val="000000"/>
          <w:szCs w:val="20"/>
        </w:rPr>
        <w:t xml:space="preserve"> - </w:t>
      </w:r>
      <w:r w:rsidRPr="00CF74D7">
        <w:rPr>
          <w:rFonts w:cs="Arial"/>
          <w:b/>
          <w:bCs/>
          <w:iCs/>
          <w:color w:val="000000"/>
          <w:szCs w:val="20"/>
        </w:rPr>
        <w:t xml:space="preserve">APE/NAF : </w:t>
      </w:r>
      <w:r w:rsidRPr="00CF74D7">
        <w:rPr>
          <w:rFonts w:cs="Arial"/>
          <w:iCs/>
          <w:color w:val="000000"/>
          <w:szCs w:val="20"/>
        </w:rPr>
        <w:t>3230Z</w:t>
      </w:r>
    </w:p>
    <w:p w14:paraId="75270971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75A2208B" w14:textId="77777777" w:rsidR="00F4254A" w:rsidRPr="002E5339" w:rsidRDefault="00F4254A" w:rsidP="00F4254A">
      <w:pPr>
        <w:spacing w:before="120" w:after="120"/>
        <w:jc w:val="both"/>
        <w:rPr>
          <w:b/>
          <w:sz w:val="24"/>
          <w:szCs w:val="24"/>
        </w:rPr>
      </w:pPr>
      <w:r w:rsidRPr="002E5339">
        <w:rPr>
          <w:b/>
          <w:sz w:val="24"/>
          <w:szCs w:val="24"/>
        </w:rPr>
        <w:t>Contexte professionnel</w:t>
      </w:r>
    </w:p>
    <w:p w14:paraId="67C7754C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812DA6">
        <w:rPr>
          <w:rFonts w:cs="Arial"/>
        </w:rPr>
        <w:t>Vous êtes l'a</w:t>
      </w:r>
      <w:r>
        <w:rPr>
          <w:rFonts w:cs="Arial"/>
        </w:rPr>
        <w:t>ttaché</w:t>
      </w:r>
      <w:r w:rsidRPr="00812DA6">
        <w:rPr>
          <w:rFonts w:cs="Arial"/>
        </w:rPr>
        <w:t xml:space="preserve">(e) de gestion de </w:t>
      </w:r>
      <w:r w:rsidRPr="00912AAB">
        <w:rPr>
          <w:rFonts w:cs="Arial"/>
        </w:rPr>
        <w:t>M. Lionel Terret</w:t>
      </w:r>
      <w:r>
        <w:rPr>
          <w:rFonts w:cs="Arial"/>
        </w:rPr>
        <w:t xml:space="preserve"> (</w:t>
      </w:r>
      <w:r w:rsidRPr="00812DA6">
        <w:rPr>
          <w:rFonts w:cs="Arial"/>
        </w:rPr>
        <w:t xml:space="preserve">dirigeant de la société </w:t>
      </w:r>
      <w:r>
        <w:rPr>
          <w:rFonts w:cs="Arial"/>
        </w:rPr>
        <w:t xml:space="preserve">qui emploie </w:t>
      </w:r>
      <w:r w:rsidRPr="00812DA6">
        <w:rPr>
          <w:rFonts w:cs="Arial"/>
        </w:rPr>
        <w:t>23 salariés)</w:t>
      </w:r>
      <w:r>
        <w:rPr>
          <w:rFonts w:cs="Arial"/>
        </w:rPr>
        <w:t xml:space="preserve">. L’entreprise est </w:t>
      </w:r>
      <w:r w:rsidRPr="00812DA6">
        <w:rPr>
          <w:rFonts w:cs="Arial"/>
        </w:rPr>
        <w:t xml:space="preserve">basée dans les Alpes. </w:t>
      </w:r>
    </w:p>
    <w:p w14:paraId="69EBC7BD" w14:textId="77777777" w:rsidR="00F4254A" w:rsidRPr="00812DA6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cs="Arial"/>
        </w:rPr>
      </w:pPr>
      <w:r w:rsidRPr="00812DA6">
        <w:rPr>
          <w:rFonts w:cs="Arial"/>
        </w:rPr>
        <w:t xml:space="preserve">Actuellement, Black-Ice utilise un logiciel de gestion commerciale classique et envoie ses factures majoritairement par e-mail (PDF simple) ou par courrier. Face à l'obligation légale de la facturation électronique au </w:t>
      </w:r>
      <w:r w:rsidRPr="00812DA6">
        <w:rPr>
          <w:rFonts w:cs="Arial"/>
          <w:b/>
          <w:bCs/>
        </w:rPr>
        <w:t>1</w:t>
      </w:r>
      <w:r w:rsidRPr="00912AAB">
        <w:rPr>
          <w:rFonts w:cs="Arial"/>
          <w:b/>
          <w:bCs/>
          <w:vertAlign w:val="superscript"/>
        </w:rPr>
        <w:t>er</w:t>
      </w:r>
      <w:r>
        <w:rPr>
          <w:rFonts w:cs="Arial"/>
          <w:b/>
          <w:bCs/>
        </w:rPr>
        <w:t xml:space="preserve"> </w:t>
      </w:r>
      <w:r w:rsidRPr="00812DA6">
        <w:rPr>
          <w:rFonts w:cs="Arial"/>
          <w:b/>
          <w:bCs/>
        </w:rPr>
        <w:t>septembre 2027</w:t>
      </w:r>
      <w:r w:rsidRPr="00812DA6">
        <w:rPr>
          <w:rFonts w:cs="Arial"/>
        </w:rPr>
        <w:t xml:space="preserve">, M. Terret souhaite anticiper </w:t>
      </w:r>
      <w:r>
        <w:rPr>
          <w:rFonts w:cs="Arial"/>
        </w:rPr>
        <w:t xml:space="preserve">l’événement </w:t>
      </w:r>
      <w:r w:rsidRPr="00812DA6">
        <w:rPr>
          <w:rFonts w:cs="Arial"/>
        </w:rPr>
        <w:t>pour sécuriser les flux financiers de l'entreprise</w:t>
      </w:r>
      <w:r>
        <w:rPr>
          <w:rFonts w:cs="Arial"/>
        </w:rPr>
        <w:t xml:space="preserve"> et se conformer aux nouvelles obligations légales, commerciales et fiscales</w:t>
      </w:r>
      <w:r w:rsidRPr="00812DA6">
        <w:rPr>
          <w:rFonts w:cs="Arial"/>
        </w:rPr>
        <w:t>.</w:t>
      </w:r>
    </w:p>
    <w:p w14:paraId="155A836A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4C70469C" w14:textId="77777777" w:rsidR="00F4254A" w:rsidRPr="00B43607" w:rsidRDefault="00F4254A" w:rsidP="00F4254A">
      <w:pPr>
        <w:spacing w:before="120" w:after="120"/>
        <w:jc w:val="both"/>
        <w:rPr>
          <w:b/>
          <w:sz w:val="24"/>
          <w:szCs w:val="24"/>
        </w:rPr>
      </w:pPr>
      <w:r w:rsidRPr="00B43607">
        <w:rPr>
          <w:b/>
          <w:sz w:val="24"/>
          <w:szCs w:val="24"/>
        </w:rPr>
        <w:t>Travail à faire</w:t>
      </w:r>
    </w:p>
    <w:p w14:paraId="0A51A4FE" w14:textId="77777777" w:rsidR="00F4254A" w:rsidRPr="00812DA6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812DA6">
        <w:rPr>
          <w:rFonts w:cs="Arial"/>
        </w:rPr>
        <w:t>En tant qu'a</w:t>
      </w:r>
      <w:r>
        <w:rPr>
          <w:rFonts w:cs="Arial"/>
        </w:rPr>
        <w:t>ttaché</w:t>
      </w:r>
      <w:r w:rsidRPr="00812DA6">
        <w:rPr>
          <w:rFonts w:cs="Arial"/>
        </w:rPr>
        <w:t>(e) de gestion, vous devez réaliser les deux travaux suivants :</w:t>
      </w:r>
    </w:p>
    <w:p w14:paraId="79336156" w14:textId="77777777" w:rsidR="00F4254A" w:rsidRDefault="00F4254A" w:rsidP="00F4254A">
      <w:pPr>
        <w:pStyle w:val="Paragraphedeliste"/>
        <w:numPr>
          <w:ilvl w:val="0"/>
          <w:numId w:val="2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ind w:left="284" w:hanging="284"/>
        <w:jc w:val="both"/>
        <w:rPr>
          <w:rFonts w:cs="Arial"/>
        </w:rPr>
      </w:pPr>
      <w:r w:rsidRPr="00B43607">
        <w:rPr>
          <w:rFonts w:cs="Arial"/>
        </w:rPr>
        <w:t>Rédigez un rapport structuré à l'attention de M</w:t>
      </w:r>
      <w:r>
        <w:rPr>
          <w:rFonts w:cs="Arial"/>
        </w:rPr>
        <w:t>.</w:t>
      </w:r>
      <w:r w:rsidRPr="00B43607">
        <w:rPr>
          <w:rFonts w:cs="Arial"/>
        </w:rPr>
        <w:t xml:space="preserve"> Terret comprenant </w:t>
      </w:r>
      <w:r>
        <w:rPr>
          <w:rFonts w:cs="Arial"/>
        </w:rPr>
        <w:t>les éléments suivants :</w:t>
      </w:r>
    </w:p>
    <w:p w14:paraId="432A21DE" w14:textId="77777777" w:rsidR="00F4254A" w:rsidRPr="00B43607" w:rsidRDefault="00F4254A" w:rsidP="00F4254A">
      <w:pPr>
        <w:pStyle w:val="Paragraphedeliste"/>
        <w:numPr>
          <w:ilvl w:val="0"/>
          <w:numId w:val="3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B43607">
        <w:rPr>
          <w:rFonts w:cs="Arial"/>
        </w:rPr>
        <w:t xml:space="preserve">Une </w:t>
      </w:r>
      <w:r w:rsidRPr="00B43607">
        <w:rPr>
          <w:rFonts w:cs="Arial"/>
          <w:b/>
          <w:bCs/>
        </w:rPr>
        <w:t>analyse des enjeux :</w:t>
      </w:r>
      <w:r w:rsidRPr="00B43607">
        <w:rPr>
          <w:rFonts w:cs="Arial"/>
        </w:rPr>
        <w:t xml:space="preserve"> </w:t>
      </w:r>
      <w:r>
        <w:rPr>
          <w:rFonts w:cs="Arial"/>
        </w:rPr>
        <w:t>p</w:t>
      </w:r>
      <w:r w:rsidRPr="00B43607">
        <w:rPr>
          <w:rFonts w:cs="Arial"/>
        </w:rPr>
        <w:t xml:space="preserve">ourquoi </w:t>
      </w:r>
      <w:r>
        <w:rPr>
          <w:rFonts w:cs="Arial"/>
        </w:rPr>
        <w:t>l’entreprise</w:t>
      </w:r>
      <w:r w:rsidRPr="00B43607">
        <w:rPr>
          <w:rFonts w:cs="Arial"/>
        </w:rPr>
        <w:t xml:space="preserve"> doit-elle s'y prendre dès maintenant ?</w:t>
      </w:r>
    </w:p>
    <w:p w14:paraId="426224C7" w14:textId="77777777" w:rsidR="00F4254A" w:rsidRPr="00B43607" w:rsidRDefault="00F4254A" w:rsidP="00F4254A">
      <w:pPr>
        <w:pStyle w:val="Paragraphedeliste"/>
        <w:numPr>
          <w:ilvl w:val="0"/>
          <w:numId w:val="3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B43607">
        <w:rPr>
          <w:rFonts w:cs="Arial"/>
          <w:b/>
          <w:bCs/>
        </w:rPr>
        <w:t>La méthodologie de mise en œuvre :</w:t>
      </w:r>
      <w:r w:rsidRPr="00B43607">
        <w:rPr>
          <w:rFonts w:cs="Arial"/>
        </w:rPr>
        <w:t xml:space="preserve"> </w:t>
      </w:r>
      <w:r>
        <w:rPr>
          <w:rFonts w:cs="Arial"/>
        </w:rPr>
        <w:t>e</w:t>
      </w:r>
      <w:r w:rsidRPr="00B43607">
        <w:rPr>
          <w:rFonts w:cs="Arial"/>
        </w:rPr>
        <w:t>xpliquer le concept de "l'annuaire" et le choix entre les différentes plateformes (PPF, PDP, OD).</w:t>
      </w:r>
    </w:p>
    <w:p w14:paraId="4A29CC0C" w14:textId="77777777" w:rsidR="00F4254A" w:rsidRDefault="00F4254A" w:rsidP="00F4254A">
      <w:pPr>
        <w:pStyle w:val="Paragraphedeliste"/>
        <w:numPr>
          <w:ilvl w:val="0"/>
          <w:numId w:val="3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B43607">
        <w:rPr>
          <w:rFonts w:cs="Arial"/>
          <w:b/>
          <w:bCs/>
        </w:rPr>
        <w:t>L'impact sur l'organisation :</w:t>
      </w:r>
      <w:r w:rsidRPr="00B43607">
        <w:rPr>
          <w:rFonts w:cs="Arial"/>
        </w:rPr>
        <w:t xml:space="preserve"> Quels changements prévoir dans la saisie et le suivi des factures ?</w:t>
      </w:r>
    </w:p>
    <w:p w14:paraId="4085B576" w14:textId="77777777" w:rsidR="00F4254A" w:rsidRPr="00B43607" w:rsidRDefault="00F4254A" w:rsidP="00F4254A">
      <w:pPr>
        <w:pStyle w:val="Paragraphedeliste"/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648F462F" w14:textId="19A1FA97" w:rsidR="00F4254A" w:rsidRPr="00B43607" w:rsidRDefault="00F4254A" w:rsidP="00F4254A">
      <w:pPr>
        <w:pStyle w:val="Paragraphedeliste"/>
        <w:numPr>
          <w:ilvl w:val="0"/>
          <w:numId w:val="2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ind w:left="284" w:hanging="284"/>
        <w:jc w:val="both"/>
        <w:rPr>
          <w:rFonts w:cs="Arial"/>
        </w:rPr>
      </w:pPr>
      <w:r w:rsidRPr="00B43607">
        <w:rPr>
          <w:rFonts w:cs="Arial"/>
        </w:rPr>
        <w:t xml:space="preserve">Établissez un </w:t>
      </w:r>
      <w:r>
        <w:rPr>
          <w:rFonts w:cs="Arial"/>
        </w:rPr>
        <w:t>p</w:t>
      </w:r>
      <w:r w:rsidRPr="00B43607">
        <w:rPr>
          <w:rFonts w:cs="Arial"/>
        </w:rPr>
        <w:t>lanning de Gantt ou un tableau de bord des tâches prévisionnelles allant de Mars 2026 à septembre 2027</w:t>
      </w:r>
      <w:r w:rsidR="0021742B">
        <w:rPr>
          <w:rFonts w:cs="Arial"/>
        </w:rPr>
        <w:t xml:space="preserve"> s’écrit rédigez le courrier à envoyer aux clients et aux fournisseurs</w:t>
      </w:r>
      <w:r w:rsidRPr="00B43607">
        <w:rPr>
          <w:rFonts w:cs="Arial"/>
        </w:rPr>
        <w:t>.</w:t>
      </w:r>
    </w:p>
    <w:p w14:paraId="67845C81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5BDD9C20" w14:textId="77777777" w:rsidR="00F4254A" w:rsidRPr="00B43607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after="120"/>
        <w:jc w:val="both"/>
        <w:rPr>
          <w:rFonts w:cs="Arial"/>
          <w:b/>
          <w:bCs/>
          <w:sz w:val="24"/>
          <w:szCs w:val="28"/>
        </w:rPr>
      </w:pPr>
      <w:r w:rsidRPr="000628FB">
        <w:rPr>
          <w:rFonts w:cs="Arial"/>
          <w:b/>
          <w:bCs/>
          <w:color w:val="FFFFFF" w:themeColor="background1"/>
          <w:sz w:val="24"/>
          <w:szCs w:val="28"/>
          <w:highlight w:val="red"/>
        </w:rPr>
        <w:t>Doc. 1</w:t>
      </w:r>
      <w:r w:rsidRPr="000628FB">
        <w:rPr>
          <w:rFonts w:cs="Arial"/>
          <w:b/>
          <w:bCs/>
          <w:color w:val="FFFFFF" w:themeColor="background1"/>
          <w:sz w:val="24"/>
          <w:szCs w:val="28"/>
        </w:rPr>
        <w:t xml:space="preserve"> </w:t>
      </w:r>
      <w:r w:rsidRPr="00B43607">
        <w:rPr>
          <w:rFonts w:cs="Arial"/>
          <w:b/>
          <w:bCs/>
          <w:sz w:val="24"/>
          <w:szCs w:val="28"/>
        </w:rPr>
        <w:t>Le nouveau paysage légal de la facturation</w:t>
      </w:r>
    </w:p>
    <w:p w14:paraId="5FBB5A9B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after="120"/>
        <w:jc w:val="both"/>
        <w:rPr>
          <w:rFonts w:cs="Arial"/>
        </w:rPr>
      </w:pPr>
      <w:r w:rsidRPr="00B43607">
        <w:rPr>
          <w:rFonts w:cs="Arial"/>
        </w:rPr>
        <w:t>L'administration fiscale française engage une transformation profonde de nos échanges commerciaux. À l'horizon du 1</w:t>
      </w:r>
      <w:r w:rsidRPr="00B43607">
        <w:rPr>
          <w:rFonts w:cs="Arial"/>
          <w:vertAlign w:val="superscript"/>
        </w:rPr>
        <w:t>er</w:t>
      </w:r>
      <w:r>
        <w:rPr>
          <w:rFonts w:cs="Arial"/>
        </w:rPr>
        <w:t xml:space="preserve"> </w:t>
      </w:r>
      <w:r w:rsidRPr="00B43607">
        <w:rPr>
          <w:rFonts w:cs="Arial"/>
        </w:rPr>
        <w:t xml:space="preserve">septembre 2027, le paysage administratif des PME sera redéfini par l'obligation de la facturation électronique. </w:t>
      </w:r>
    </w:p>
    <w:p w14:paraId="318FC420" w14:textId="77777777" w:rsidR="00F4254A" w:rsidRPr="000628FB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after="120"/>
        <w:jc w:val="both"/>
        <w:rPr>
          <w:rFonts w:cs="Arial"/>
        </w:rPr>
      </w:pPr>
      <w:r w:rsidRPr="000628FB">
        <w:rPr>
          <w:rFonts w:cs="Arial"/>
        </w:rPr>
        <w:t>Cette réforme ne se résume pas à l'envoi d'un simple PDF par courriel ; elle impose désormais un flux de données structuré transitant par des plateformes certifiées. L’objectif est double : automatiser la collecte de la TVA pour l’État et moderniser la gestion comptable des entreprises.</w:t>
      </w:r>
    </w:p>
    <w:p w14:paraId="7363D4F7" w14:textId="77777777" w:rsidR="00F4254A" w:rsidRPr="000628FB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0628FB">
        <w:rPr>
          <w:rFonts w:cs="Arial"/>
          <w:b/>
          <w:bCs/>
        </w:rPr>
        <w:t>Un calendrier de déploiement en deux temps</w:t>
      </w:r>
      <w:r w:rsidRPr="000628FB">
        <w:rPr>
          <w:rFonts w:cs="Arial"/>
        </w:rPr>
        <w:t xml:space="preserve"> Pour ne pas déstabiliser l'économie, le gouvernement a instauré un calendrier progressif. Si toutes les entreprises, quelle que soit leur taille, doivent être prêtes à </w:t>
      </w:r>
      <w:r w:rsidRPr="000628FB">
        <w:rPr>
          <w:rFonts w:cs="Arial"/>
          <w:b/>
          <w:bCs/>
        </w:rPr>
        <w:t>recevoir</w:t>
      </w:r>
      <w:r w:rsidRPr="000628FB">
        <w:rPr>
          <w:rFonts w:cs="Arial"/>
        </w:rPr>
        <w:t xml:space="preserve"> des factures électroniques dès le </w:t>
      </w:r>
      <w:r w:rsidRPr="000628FB">
        <w:rPr>
          <w:rFonts w:cs="Arial"/>
          <w:b/>
          <w:bCs/>
        </w:rPr>
        <w:t>1</w:t>
      </w:r>
      <w:r w:rsidRPr="00912AAB">
        <w:rPr>
          <w:rFonts w:cs="Arial"/>
          <w:b/>
          <w:bCs/>
          <w:vertAlign w:val="superscript"/>
        </w:rPr>
        <w:t>er</w:t>
      </w:r>
      <w:r>
        <w:rPr>
          <w:rFonts w:cs="Arial"/>
          <w:b/>
          <w:bCs/>
        </w:rPr>
        <w:t xml:space="preserve"> </w:t>
      </w:r>
      <w:r w:rsidRPr="000628FB">
        <w:rPr>
          <w:rFonts w:cs="Arial"/>
          <w:b/>
          <w:bCs/>
        </w:rPr>
        <w:t>septembre 2026</w:t>
      </w:r>
      <w:r w:rsidRPr="000628FB">
        <w:rPr>
          <w:rFonts w:cs="Arial"/>
        </w:rPr>
        <w:t>, l'obligation d'</w:t>
      </w:r>
      <w:r w:rsidRPr="000628FB">
        <w:rPr>
          <w:rFonts w:cs="Arial"/>
          <w:b/>
          <w:bCs/>
        </w:rPr>
        <w:t>émission</w:t>
      </w:r>
      <w:r w:rsidRPr="000628FB">
        <w:rPr>
          <w:rFonts w:cs="Arial"/>
        </w:rPr>
        <w:t xml:space="preserve"> suit un rythme différent :</w:t>
      </w:r>
    </w:p>
    <w:p w14:paraId="57EE03A9" w14:textId="77777777" w:rsidR="00F4254A" w:rsidRPr="000628FB" w:rsidRDefault="00F4254A" w:rsidP="00F4254A">
      <w:pPr>
        <w:numPr>
          <w:ilvl w:val="0"/>
          <w:numId w:val="5"/>
        </w:numPr>
        <w:tabs>
          <w:tab w:val="left" w:pos="0"/>
          <w:tab w:val="num" w:pos="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0628FB">
        <w:rPr>
          <w:rFonts w:cs="Arial"/>
          <w:b/>
          <w:bCs/>
        </w:rPr>
        <w:t>1</w:t>
      </w:r>
      <w:r w:rsidRPr="000628FB">
        <w:rPr>
          <w:rFonts w:cs="Arial"/>
          <w:b/>
          <w:bCs/>
          <w:vertAlign w:val="superscript"/>
        </w:rPr>
        <w:t>er</w:t>
      </w:r>
      <w:r>
        <w:rPr>
          <w:rFonts w:cs="Arial"/>
          <w:b/>
          <w:bCs/>
        </w:rPr>
        <w:t xml:space="preserve"> </w:t>
      </w:r>
      <w:r w:rsidRPr="000628FB">
        <w:rPr>
          <w:rFonts w:cs="Arial"/>
          <w:b/>
          <w:bCs/>
        </w:rPr>
        <w:t>septembre 2026 :</w:t>
      </w:r>
      <w:r w:rsidRPr="000628FB">
        <w:rPr>
          <w:rFonts w:cs="Arial"/>
        </w:rPr>
        <w:t xml:space="preserve"> </w:t>
      </w:r>
      <w:r>
        <w:rPr>
          <w:rFonts w:cs="Arial"/>
        </w:rPr>
        <w:t>g</w:t>
      </w:r>
      <w:r w:rsidRPr="000628FB">
        <w:rPr>
          <w:rFonts w:cs="Arial"/>
        </w:rPr>
        <w:t xml:space="preserve">randes entreprises et </w:t>
      </w:r>
      <w:r>
        <w:rPr>
          <w:rFonts w:cs="Arial"/>
        </w:rPr>
        <w:t>e</w:t>
      </w:r>
      <w:r w:rsidRPr="000628FB">
        <w:rPr>
          <w:rFonts w:cs="Arial"/>
        </w:rPr>
        <w:t xml:space="preserve">ntreprises de </w:t>
      </w:r>
      <w:r>
        <w:rPr>
          <w:rFonts w:cs="Arial"/>
        </w:rPr>
        <w:t>t</w:t>
      </w:r>
      <w:r w:rsidRPr="000628FB">
        <w:rPr>
          <w:rFonts w:cs="Arial"/>
        </w:rPr>
        <w:t>aille Intermédiaire (ETI).</w:t>
      </w:r>
    </w:p>
    <w:p w14:paraId="610F5504" w14:textId="77777777" w:rsidR="00F4254A" w:rsidRPr="000628FB" w:rsidRDefault="00F4254A" w:rsidP="00F4254A">
      <w:pPr>
        <w:numPr>
          <w:ilvl w:val="0"/>
          <w:numId w:val="5"/>
        </w:numPr>
        <w:tabs>
          <w:tab w:val="left" w:pos="0"/>
          <w:tab w:val="num" w:pos="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0628FB">
        <w:rPr>
          <w:rFonts w:cs="Arial"/>
          <w:b/>
          <w:bCs/>
        </w:rPr>
        <w:t>1</w:t>
      </w:r>
      <w:r w:rsidRPr="000628FB">
        <w:rPr>
          <w:rFonts w:cs="Arial"/>
          <w:b/>
          <w:bCs/>
          <w:vertAlign w:val="superscript"/>
        </w:rPr>
        <w:t>er</w:t>
      </w:r>
      <w:r>
        <w:rPr>
          <w:rFonts w:cs="Arial"/>
          <w:b/>
          <w:bCs/>
        </w:rPr>
        <w:t xml:space="preserve"> </w:t>
      </w:r>
      <w:r w:rsidRPr="000628FB">
        <w:rPr>
          <w:rFonts w:cs="Arial"/>
          <w:b/>
          <w:bCs/>
        </w:rPr>
        <w:t>septembre 2027 :</w:t>
      </w:r>
      <w:r w:rsidRPr="000628FB">
        <w:rPr>
          <w:rFonts w:cs="Arial"/>
        </w:rPr>
        <w:t xml:space="preserve"> </w:t>
      </w:r>
      <w:r>
        <w:rPr>
          <w:rFonts w:cs="Arial"/>
        </w:rPr>
        <w:t>p</w:t>
      </w:r>
      <w:r w:rsidRPr="000628FB">
        <w:rPr>
          <w:rFonts w:cs="Arial"/>
        </w:rPr>
        <w:t xml:space="preserve">etites et </w:t>
      </w:r>
      <w:r>
        <w:rPr>
          <w:rFonts w:cs="Arial"/>
        </w:rPr>
        <w:t>m</w:t>
      </w:r>
      <w:r w:rsidRPr="000628FB">
        <w:rPr>
          <w:rFonts w:cs="Arial"/>
        </w:rPr>
        <w:t xml:space="preserve">oyennes </w:t>
      </w:r>
      <w:r>
        <w:rPr>
          <w:rFonts w:cs="Arial"/>
        </w:rPr>
        <w:t>e</w:t>
      </w:r>
      <w:r w:rsidRPr="000628FB">
        <w:rPr>
          <w:rFonts w:cs="Arial"/>
        </w:rPr>
        <w:t>ntreprises (PME) et micro-entreprises.</w:t>
      </w:r>
    </w:p>
    <w:p w14:paraId="243D6680" w14:textId="77777777" w:rsidR="00F4254A" w:rsidRPr="000628FB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after="120"/>
        <w:jc w:val="both"/>
        <w:rPr>
          <w:rFonts w:cs="Arial"/>
        </w:rPr>
      </w:pPr>
      <w:r w:rsidRPr="000628FB">
        <w:rPr>
          <w:rFonts w:cs="Arial"/>
          <w:b/>
          <w:bCs/>
        </w:rPr>
        <w:lastRenderedPageBreak/>
        <w:t>Le triptyque technologique : PPF, PDP et OD</w:t>
      </w:r>
      <w:r>
        <w:rPr>
          <w:rFonts w:cs="Arial"/>
        </w:rPr>
        <w:t> : p</w:t>
      </w:r>
      <w:r w:rsidRPr="000628FB">
        <w:rPr>
          <w:rFonts w:cs="Arial"/>
        </w:rPr>
        <w:t xml:space="preserve">our s'insérer dans ce nouveau, </w:t>
      </w:r>
      <w:r>
        <w:rPr>
          <w:rFonts w:cs="Arial"/>
        </w:rPr>
        <w:t>l’entreprise</w:t>
      </w:r>
      <w:r w:rsidRPr="000628FB">
        <w:rPr>
          <w:rFonts w:cs="Arial"/>
        </w:rPr>
        <w:t xml:space="preserve"> devra choisir ses outils parmi trois types d'acteurs :</w:t>
      </w:r>
    </w:p>
    <w:p w14:paraId="6292137D" w14:textId="77777777" w:rsidR="00F4254A" w:rsidRPr="000628FB" w:rsidRDefault="00F4254A" w:rsidP="00F4254A">
      <w:pPr>
        <w:numPr>
          <w:ilvl w:val="0"/>
          <w:numId w:val="6"/>
        </w:numPr>
        <w:tabs>
          <w:tab w:val="clear" w:pos="360"/>
          <w:tab w:val="num" w:pos="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426" w:hanging="502"/>
        <w:jc w:val="both"/>
        <w:rPr>
          <w:rFonts w:cs="Arial"/>
        </w:rPr>
      </w:pPr>
      <w:r w:rsidRPr="000628FB">
        <w:rPr>
          <w:rFonts w:cs="Arial"/>
          <w:b/>
          <w:bCs/>
        </w:rPr>
        <w:t>Le Portail Public de Facturation (PPF) :</w:t>
      </w:r>
      <w:r w:rsidRPr="000628FB">
        <w:rPr>
          <w:rFonts w:cs="Arial"/>
        </w:rPr>
        <w:t xml:space="preserve"> C'est la plateforme gratuite de l'État. Elle assure le service minimum : dépôt, réception et transmission des données à l'administration. C'est un socle de base, mais il offre peu d'automatisation.</w:t>
      </w:r>
    </w:p>
    <w:p w14:paraId="19029E32" w14:textId="77777777" w:rsidR="00F4254A" w:rsidRPr="000628FB" w:rsidRDefault="00F4254A" w:rsidP="00F4254A">
      <w:pPr>
        <w:numPr>
          <w:ilvl w:val="0"/>
          <w:numId w:val="6"/>
        </w:numPr>
        <w:tabs>
          <w:tab w:val="clear" w:pos="360"/>
          <w:tab w:val="num" w:pos="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426" w:hanging="502"/>
        <w:jc w:val="both"/>
        <w:rPr>
          <w:rFonts w:cs="Arial"/>
        </w:rPr>
      </w:pPr>
      <w:r w:rsidRPr="000628FB">
        <w:rPr>
          <w:rFonts w:cs="Arial"/>
          <w:b/>
          <w:bCs/>
        </w:rPr>
        <w:t>Les Plateformes de Dématérialisation Partenaires (PDP) :</w:t>
      </w:r>
      <w:r w:rsidRPr="000628FB">
        <w:rPr>
          <w:rFonts w:cs="Arial"/>
        </w:rPr>
        <w:t xml:space="preserve"> Ce sont des prestataires privés immatriculés par l'administration fiscale. Contrairement au PPF, elles sont payantes mais offrent des services à forte valeur ajoutée : conversion automatique des formats, archivage légal, et surtout, elles gèrent l'extraction des données pour le </w:t>
      </w:r>
      <w:r w:rsidRPr="000628FB">
        <w:rPr>
          <w:rFonts w:cs="Arial"/>
          <w:b/>
          <w:bCs/>
        </w:rPr>
        <w:t>e-reporting</w:t>
      </w:r>
      <w:r w:rsidRPr="000628FB">
        <w:rPr>
          <w:rFonts w:cs="Arial"/>
        </w:rPr>
        <w:t xml:space="preserve"> (indispensable pour les ventes à l'export).</w:t>
      </w:r>
    </w:p>
    <w:p w14:paraId="147B9A57" w14:textId="77777777" w:rsidR="00F4254A" w:rsidRPr="000628FB" w:rsidRDefault="00F4254A" w:rsidP="00F4254A">
      <w:pPr>
        <w:numPr>
          <w:ilvl w:val="0"/>
          <w:numId w:val="6"/>
        </w:numPr>
        <w:tabs>
          <w:tab w:val="clear" w:pos="360"/>
          <w:tab w:val="num" w:pos="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426" w:hanging="502"/>
        <w:jc w:val="both"/>
        <w:rPr>
          <w:rFonts w:cs="Arial"/>
        </w:rPr>
      </w:pPr>
      <w:r w:rsidRPr="000628FB">
        <w:rPr>
          <w:rFonts w:cs="Arial"/>
          <w:b/>
          <w:bCs/>
        </w:rPr>
        <w:t>Les Opérateurs de Dématérialisation (OD) :</w:t>
      </w:r>
      <w:r w:rsidRPr="000628FB">
        <w:rPr>
          <w:rFonts w:cs="Arial"/>
        </w:rPr>
        <w:t xml:space="preserve"> Ce sont souvent des éditeurs de logiciels de gestion. Ils ne sont pas immatriculés pour transmettre directement à l'État, mais ils servent de </w:t>
      </w:r>
      <w:r>
        <w:rPr>
          <w:rFonts w:cs="Arial"/>
        </w:rPr>
        <w:t>« </w:t>
      </w:r>
      <w:r w:rsidRPr="000628FB">
        <w:rPr>
          <w:rFonts w:cs="Arial"/>
        </w:rPr>
        <w:t>pont</w:t>
      </w:r>
      <w:r>
        <w:rPr>
          <w:rFonts w:cs="Arial"/>
        </w:rPr>
        <w:t> »</w:t>
      </w:r>
      <w:r w:rsidRPr="000628FB">
        <w:rPr>
          <w:rFonts w:cs="Arial"/>
        </w:rPr>
        <w:t xml:space="preserve"> technique pour envoyer les factures vers le PPF ou une PDP.</w:t>
      </w:r>
    </w:p>
    <w:p w14:paraId="64DCBB98" w14:textId="77777777" w:rsidR="00F4254A" w:rsidRPr="00B43607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240" w:after="120"/>
        <w:jc w:val="both"/>
        <w:rPr>
          <w:rFonts w:cs="Arial"/>
          <w:b/>
          <w:bCs/>
          <w:sz w:val="24"/>
          <w:szCs w:val="28"/>
        </w:rPr>
      </w:pPr>
      <w:r w:rsidRPr="000628FB">
        <w:rPr>
          <w:rFonts w:cs="Arial"/>
          <w:b/>
          <w:bCs/>
          <w:color w:val="FFFFFF" w:themeColor="background1"/>
          <w:sz w:val="24"/>
          <w:szCs w:val="28"/>
          <w:highlight w:val="red"/>
        </w:rPr>
        <w:t>Doc. 2</w:t>
      </w:r>
      <w:r w:rsidRPr="000628FB">
        <w:rPr>
          <w:rFonts w:cs="Arial"/>
          <w:b/>
          <w:bCs/>
          <w:color w:val="FFFFFF" w:themeColor="background1"/>
          <w:sz w:val="24"/>
          <w:szCs w:val="28"/>
        </w:rPr>
        <w:t xml:space="preserve"> </w:t>
      </w:r>
      <w:r w:rsidRPr="00B43607">
        <w:rPr>
          <w:rFonts w:cs="Arial"/>
          <w:b/>
          <w:bCs/>
          <w:sz w:val="24"/>
          <w:szCs w:val="28"/>
        </w:rPr>
        <w:t>Diagnostic de l'existant chez Black-Ice</w:t>
      </w:r>
    </w:p>
    <w:p w14:paraId="031594B5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B43607">
        <w:rPr>
          <w:rFonts w:cs="Arial"/>
        </w:rPr>
        <w:t xml:space="preserve">Au cœur des Alpes, la société Black-Ice s'est forgée une solide réputation grâce à la technicité de ses piolets et crampons. Pourtant, derrière cette innovation produit, le système de gestion administrative accuse le poids des années. </w:t>
      </w:r>
    </w:p>
    <w:p w14:paraId="6DF6991A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cs="Arial"/>
        </w:rPr>
      </w:pPr>
      <w:r w:rsidRPr="00B43607">
        <w:rPr>
          <w:rFonts w:cs="Arial"/>
        </w:rPr>
        <w:t xml:space="preserve">L'entreprise s'appuie actuellement sur un logiciel de gestion commerciale datant de 2018, une version robuste mais </w:t>
      </w:r>
      <w:r>
        <w:rPr>
          <w:rFonts w:cs="Arial"/>
        </w:rPr>
        <w:t>incompatible</w:t>
      </w:r>
      <w:r w:rsidRPr="00B43607">
        <w:rPr>
          <w:rFonts w:cs="Arial"/>
        </w:rPr>
        <w:t xml:space="preserve"> </w:t>
      </w:r>
      <w:r>
        <w:rPr>
          <w:rFonts w:cs="Arial"/>
        </w:rPr>
        <w:t>avec les</w:t>
      </w:r>
      <w:r w:rsidRPr="00B43607">
        <w:rPr>
          <w:rFonts w:cs="Arial"/>
        </w:rPr>
        <w:t xml:space="preserve"> nouveaux protocoles de données</w:t>
      </w:r>
      <w:r>
        <w:rPr>
          <w:rFonts w:cs="Arial"/>
        </w:rPr>
        <w:t xml:space="preserve"> imposés par la mise en œuvre de la facturation électronique</w:t>
      </w:r>
      <w:r w:rsidRPr="00B43607">
        <w:rPr>
          <w:rFonts w:cs="Arial"/>
        </w:rPr>
        <w:t xml:space="preserve">. Avec un flux mensuel de </w:t>
      </w:r>
      <w:r>
        <w:rPr>
          <w:rFonts w:cs="Arial"/>
        </w:rPr>
        <w:t>100</w:t>
      </w:r>
      <w:r w:rsidRPr="00B43607">
        <w:rPr>
          <w:rFonts w:cs="Arial"/>
        </w:rPr>
        <w:t xml:space="preserve"> factures clients et </w:t>
      </w:r>
      <w:r>
        <w:rPr>
          <w:rFonts w:cs="Arial"/>
        </w:rPr>
        <w:t>4</w:t>
      </w:r>
      <w:r w:rsidRPr="00B43607">
        <w:rPr>
          <w:rFonts w:cs="Arial"/>
        </w:rPr>
        <w:t xml:space="preserve">0 factures fournisseurs, </w:t>
      </w:r>
      <w:r>
        <w:rPr>
          <w:rFonts w:cs="Arial"/>
        </w:rPr>
        <w:t>l’entreprise doit impérativement mettre à jour le traitement numérique de ses données commerciales et comptables</w:t>
      </w:r>
      <w:r w:rsidRPr="00B43607">
        <w:rPr>
          <w:rFonts w:cs="Arial"/>
        </w:rPr>
        <w:t>.</w:t>
      </w:r>
    </w:p>
    <w:p w14:paraId="285C60E0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cs="Arial"/>
        </w:rPr>
      </w:pPr>
      <w:r w:rsidRPr="00B43607">
        <w:rPr>
          <w:rFonts w:cs="Arial"/>
        </w:rPr>
        <w:t>Si le marché domestique constitue le socle de l'activité, la part importante des exportations vers la Suisse</w:t>
      </w:r>
      <w:r>
        <w:rPr>
          <w:rFonts w:cs="Arial"/>
        </w:rPr>
        <w:t>, l’Italie</w:t>
      </w:r>
      <w:r w:rsidRPr="00B43607">
        <w:rPr>
          <w:rFonts w:cs="Arial"/>
        </w:rPr>
        <w:t xml:space="preserve"> et les États-Unis ajoute une couche de complexité : Black-Ice devra non seulement maîtriser le </w:t>
      </w:r>
      <w:r w:rsidRPr="00B43607">
        <w:rPr>
          <w:rFonts w:cs="Arial"/>
          <w:i/>
          <w:iCs/>
        </w:rPr>
        <w:t>e-invoicing</w:t>
      </w:r>
      <w:r>
        <w:rPr>
          <w:rFonts w:cs="Arial"/>
          <w:i/>
          <w:iCs/>
        </w:rPr>
        <w:t>*</w:t>
      </w:r>
      <w:r w:rsidRPr="00B43607">
        <w:rPr>
          <w:rFonts w:cs="Arial"/>
        </w:rPr>
        <w:t xml:space="preserve"> pour ses clients français, mais aussi le </w:t>
      </w:r>
      <w:r w:rsidRPr="00B43607">
        <w:rPr>
          <w:rFonts w:cs="Arial"/>
          <w:i/>
          <w:iCs/>
        </w:rPr>
        <w:t>e-reporting</w:t>
      </w:r>
      <w:r>
        <w:rPr>
          <w:rFonts w:cs="Arial"/>
          <w:i/>
          <w:iCs/>
        </w:rPr>
        <w:t>*</w:t>
      </w:r>
      <w:r w:rsidRPr="00B43607">
        <w:rPr>
          <w:rFonts w:cs="Arial"/>
        </w:rPr>
        <w:t xml:space="preserve"> pour ses transactions internationales, sous peine de voir sa logistique administrative se gripper.</w:t>
      </w:r>
    </w:p>
    <w:p w14:paraId="7AFD4777" w14:textId="77777777" w:rsidR="00F4254A" w:rsidRPr="000628FB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after="120"/>
        <w:jc w:val="both"/>
        <w:rPr>
          <w:rFonts w:cs="Arial"/>
        </w:rPr>
      </w:pPr>
      <w:r w:rsidRPr="000628FB">
        <w:rPr>
          <w:rFonts w:cs="Arial"/>
        </w:rPr>
        <w:t xml:space="preserve">Avec son activité internationale, Black-Ice ne peut se contenter d'une gestion passive. Le </w:t>
      </w:r>
      <w:r w:rsidRPr="000628FB">
        <w:rPr>
          <w:rFonts w:cs="Arial"/>
          <w:b/>
          <w:bCs/>
        </w:rPr>
        <w:t>e-reporting</w:t>
      </w:r>
      <w:r>
        <w:rPr>
          <w:rFonts w:cs="Arial"/>
          <w:b/>
          <w:bCs/>
        </w:rPr>
        <w:t>*</w:t>
      </w:r>
      <w:r w:rsidRPr="000628FB">
        <w:rPr>
          <w:rFonts w:cs="Arial"/>
        </w:rPr>
        <w:t xml:space="preserve"> est ici le point de vigilance majeur : puisque l'entreprise vend 30</w:t>
      </w:r>
      <w:r>
        <w:rPr>
          <w:rFonts w:cs="Arial"/>
        </w:rPr>
        <w:t xml:space="preserve"> </w:t>
      </w:r>
      <w:r w:rsidRPr="000628FB">
        <w:rPr>
          <w:rFonts w:cs="Arial"/>
        </w:rPr>
        <w:t xml:space="preserve">% de ses </w:t>
      </w:r>
      <w:r>
        <w:rPr>
          <w:rFonts w:cs="Arial"/>
        </w:rPr>
        <w:t>articles</w:t>
      </w:r>
      <w:r w:rsidRPr="000628FB">
        <w:rPr>
          <w:rFonts w:cs="Arial"/>
        </w:rPr>
        <w:t xml:space="preserve"> à l'étranger (Suisse,</w:t>
      </w:r>
      <w:r>
        <w:rPr>
          <w:rFonts w:cs="Arial"/>
        </w:rPr>
        <w:t xml:space="preserve"> Italie,</w:t>
      </w:r>
      <w:r w:rsidRPr="000628FB">
        <w:rPr>
          <w:rFonts w:cs="Arial"/>
        </w:rPr>
        <w:t xml:space="preserve"> USA), elle devra </w:t>
      </w:r>
      <w:r>
        <w:rPr>
          <w:rFonts w:cs="Arial"/>
        </w:rPr>
        <w:t xml:space="preserve">également </w:t>
      </w:r>
      <w:r w:rsidRPr="000628FB">
        <w:rPr>
          <w:rFonts w:cs="Arial"/>
        </w:rPr>
        <w:t xml:space="preserve">transmettre à l'administration les données de ces ventes internationales, même si ces dernières ne font pas l'objet d'une facture électronique </w:t>
      </w:r>
      <w:r>
        <w:rPr>
          <w:rFonts w:cs="Arial"/>
        </w:rPr>
        <w:t>« </w:t>
      </w:r>
      <w:r w:rsidRPr="000628FB">
        <w:rPr>
          <w:rFonts w:cs="Arial"/>
        </w:rPr>
        <w:t>domestique</w:t>
      </w:r>
      <w:r>
        <w:rPr>
          <w:rFonts w:cs="Arial"/>
        </w:rPr>
        <w:t> »</w:t>
      </w:r>
      <w:r w:rsidRPr="000628FB">
        <w:rPr>
          <w:rFonts w:cs="Arial"/>
        </w:rPr>
        <w:t xml:space="preserve"> française. Anticiper le choix d'une plateforme (PDP ou couple Logiciel</w:t>
      </w:r>
      <w:r>
        <w:rPr>
          <w:rFonts w:cs="Arial"/>
        </w:rPr>
        <w:t xml:space="preserve"> </w:t>
      </w:r>
      <w:r w:rsidRPr="000628FB">
        <w:rPr>
          <w:rFonts w:cs="Arial"/>
        </w:rPr>
        <w:t>+</w:t>
      </w:r>
      <w:r>
        <w:rPr>
          <w:rFonts w:cs="Arial"/>
        </w:rPr>
        <w:t xml:space="preserve"> </w:t>
      </w:r>
      <w:r w:rsidRPr="000628FB">
        <w:rPr>
          <w:rFonts w:cs="Arial"/>
        </w:rPr>
        <w:t>PPF) est donc crucial pour éviter toute rupture dans la chaîne de facturation et garantir la récupération de la TVA.</w:t>
      </w:r>
    </w:p>
    <w:p w14:paraId="61AB951E" w14:textId="77777777" w:rsidR="00F4254A" w:rsidRPr="001A2692" w:rsidRDefault="00F4254A" w:rsidP="00F4254A">
      <w:pPr>
        <w:shd w:val="clear" w:color="auto" w:fill="E2EFD9" w:themeFill="accent6" w:themeFillTint="33"/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>
        <w:rPr>
          <w:rFonts w:cs="Arial"/>
          <w:b/>
          <w:bCs/>
        </w:rPr>
        <w:t xml:space="preserve">* </w:t>
      </w:r>
      <w:r w:rsidRPr="001A2692">
        <w:rPr>
          <w:rFonts w:cs="Arial"/>
          <w:b/>
          <w:bCs/>
        </w:rPr>
        <w:t>E-invoicing / Facturation électronique</w:t>
      </w:r>
      <w:r>
        <w:rPr>
          <w:rFonts w:cs="Arial"/>
          <w:b/>
          <w:bCs/>
        </w:rPr>
        <w:t xml:space="preserve"> : </w:t>
      </w:r>
      <w:r>
        <w:rPr>
          <w:rFonts w:cs="Arial"/>
        </w:rPr>
        <w:t>p</w:t>
      </w:r>
      <w:r w:rsidRPr="001A2692">
        <w:rPr>
          <w:rFonts w:cs="Arial"/>
        </w:rPr>
        <w:t>rocessus qui permet de créer, transmettre, recevoir et archiver des factures au format structuré imposé par l’administration fiscale pour garantir leur traitement automatisé.</w:t>
      </w:r>
    </w:p>
    <w:p w14:paraId="0E848787" w14:textId="77777777" w:rsidR="00F4254A" w:rsidRPr="001A2692" w:rsidRDefault="00F4254A" w:rsidP="00F4254A">
      <w:pPr>
        <w:shd w:val="clear" w:color="auto" w:fill="E2EFD9" w:themeFill="accent6" w:themeFillTint="33"/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>
        <w:rPr>
          <w:rFonts w:cs="Arial"/>
          <w:b/>
          <w:bCs/>
        </w:rPr>
        <w:t xml:space="preserve">* </w:t>
      </w:r>
      <w:r w:rsidRPr="001A2692">
        <w:rPr>
          <w:rFonts w:cs="Arial"/>
          <w:b/>
          <w:bCs/>
        </w:rPr>
        <w:t>E-reporting</w:t>
      </w:r>
      <w:r>
        <w:rPr>
          <w:rFonts w:cs="Arial"/>
          <w:b/>
          <w:bCs/>
        </w:rPr>
        <w:t xml:space="preserve"> : </w:t>
      </w:r>
      <w:r>
        <w:rPr>
          <w:rFonts w:cs="Arial"/>
        </w:rPr>
        <w:t>t</w:t>
      </w:r>
      <w:r w:rsidRPr="001A2692">
        <w:rPr>
          <w:rFonts w:cs="Arial"/>
        </w:rPr>
        <w:t>ransmission des données de transaction et d’encaissement à l’administration fiscale. Cela inclut les ventes B2C, les acquisitions intracommunautaires et les transactions internationales.</w:t>
      </w:r>
    </w:p>
    <w:p w14:paraId="0D50018A" w14:textId="77777777" w:rsidR="00F4254A" w:rsidRPr="00B43607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cs="Arial"/>
        </w:rPr>
      </w:pPr>
    </w:p>
    <w:p w14:paraId="5157C726" w14:textId="77777777" w:rsidR="00F4254A" w:rsidRPr="00B43607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after="120"/>
        <w:jc w:val="both"/>
        <w:rPr>
          <w:rFonts w:cs="Arial"/>
          <w:b/>
          <w:bCs/>
          <w:sz w:val="24"/>
          <w:szCs w:val="28"/>
        </w:rPr>
      </w:pPr>
      <w:r w:rsidRPr="000628FB">
        <w:rPr>
          <w:rFonts w:cs="Arial"/>
          <w:b/>
          <w:bCs/>
          <w:color w:val="FFFFFF" w:themeColor="background1"/>
          <w:sz w:val="24"/>
          <w:szCs w:val="28"/>
          <w:highlight w:val="red"/>
        </w:rPr>
        <w:t>Doc. 3</w:t>
      </w:r>
      <w:r w:rsidRPr="000628FB">
        <w:rPr>
          <w:rFonts w:cs="Arial"/>
          <w:b/>
          <w:bCs/>
          <w:color w:val="FFFFFF" w:themeColor="background1"/>
          <w:sz w:val="24"/>
          <w:szCs w:val="28"/>
        </w:rPr>
        <w:t xml:space="preserve"> </w:t>
      </w:r>
      <w:r w:rsidRPr="00B43607">
        <w:rPr>
          <w:rFonts w:cs="Arial"/>
          <w:b/>
          <w:bCs/>
          <w:sz w:val="24"/>
          <w:szCs w:val="28"/>
        </w:rPr>
        <w:t>La feuille de route vers la mise en conformité</w:t>
      </w:r>
    </w:p>
    <w:p w14:paraId="2F7FE99A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  <w:r w:rsidRPr="00B43607">
        <w:rPr>
          <w:rFonts w:cs="Arial"/>
        </w:rPr>
        <w:t xml:space="preserve">Réussir cette transition exige une approche méthodique qui dépasse la simple mise à jour informatique. </w:t>
      </w:r>
    </w:p>
    <w:p w14:paraId="593188E5" w14:textId="77777777" w:rsidR="00F4254A" w:rsidRPr="00CF74D7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cs="Arial"/>
        </w:rPr>
      </w:pPr>
      <w:r w:rsidRPr="00CF74D7">
        <w:rPr>
          <w:rFonts w:cs="Arial"/>
        </w:rPr>
        <w:t>Le chantier doit impérativement débuter par un audit rigoureux des données de l'entreprise :</w:t>
      </w:r>
    </w:p>
    <w:p w14:paraId="5C5D8BC3" w14:textId="77777777" w:rsidR="00F4254A" w:rsidRDefault="00F4254A" w:rsidP="00F4254A">
      <w:pPr>
        <w:pStyle w:val="Paragraphedeliste"/>
        <w:numPr>
          <w:ilvl w:val="0"/>
          <w:numId w:val="4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ind w:left="284" w:hanging="284"/>
        <w:jc w:val="both"/>
        <w:rPr>
          <w:rFonts w:cs="Arial"/>
        </w:rPr>
      </w:pPr>
      <w:r w:rsidRPr="00CF74D7">
        <w:rPr>
          <w:rFonts w:cs="Arial"/>
        </w:rPr>
        <w:t xml:space="preserve">la fiabilité des numéros SIRET et de TVA des partenaires est la condition </w:t>
      </w:r>
      <w:r w:rsidRPr="00CF74D7">
        <w:rPr>
          <w:rFonts w:cs="Arial"/>
          <w:i/>
          <w:iCs/>
        </w:rPr>
        <w:t>sine qua non</w:t>
      </w:r>
      <w:r w:rsidRPr="00CF74D7">
        <w:rPr>
          <w:rFonts w:cs="Arial"/>
        </w:rPr>
        <w:t xml:space="preserve"> pour que les factures parviennent à leurs destinataires. </w:t>
      </w:r>
    </w:p>
    <w:p w14:paraId="0BC79820" w14:textId="77777777" w:rsidR="00F4254A" w:rsidRDefault="00F4254A" w:rsidP="00F4254A">
      <w:pPr>
        <w:pStyle w:val="Paragraphedeliste"/>
        <w:numPr>
          <w:ilvl w:val="0"/>
          <w:numId w:val="4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ind w:left="284" w:hanging="284"/>
        <w:jc w:val="both"/>
        <w:rPr>
          <w:rFonts w:cs="Arial"/>
        </w:rPr>
      </w:pPr>
      <w:r w:rsidRPr="00CF74D7">
        <w:rPr>
          <w:rFonts w:cs="Arial"/>
        </w:rPr>
        <w:t xml:space="preserve">Une fois cette fondation consolidée, la direction devra arbitrer entre le Portail Public de Facturation et les Plateformes de Dématérialisation Partenaires, en fonction des services de gestion souhaités. </w:t>
      </w:r>
    </w:p>
    <w:p w14:paraId="0323C6C4" w14:textId="77777777" w:rsidR="00F4254A" w:rsidRDefault="00F4254A" w:rsidP="00F4254A">
      <w:pPr>
        <w:pStyle w:val="Paragraphedeliste"/>
        <w:numPr>
          <w:ilvl w:val="0"/>
          <w:numId w:val="4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ind w:left="284" w:hanging="284"/>
        <w:jc w:val="both"/>
        <w:rPr>
          <w:rFonts w:cs="Arial"/>
        </w:rPr>
      </w:pPr>
      <w:r w:rsidRPr="00CF74D7">
        <w:rPr>
          <w:rFonts w:cs="Arial"/>
        </w:rPr>
        <w:t xml:space="preserve">Le projet entrera ensuite dans sa phase opérationnelle avec la refonte </w:t>
      </w:r>
      <w:r>
        <w:rPr>
          <w:rFonts w:cs="Arial"/>
        </w:rPr>
        <w:t>ou le changement</w:t>
      </w:r>
      <w:r w:rsidRPr="00CF74D7">
        <w:rPr>
          <w:rFonts w:cs="Arial"/>
        </w:rPr>
        <w:t xml:space="preserve"> du logiciel interne</w:t>
      </w:r>
      <w:r>
        <w:rPr>
          <w:rFonts w:cs="Arial"/>
        </w:rPr>
        <w:t xml:space="preserve"> </w:t>
      </w:r>
      <w:r w:rsidRPr="00CF74D7">
        <w:rPr>
          <w:rFonts w:cs="Arial"/>
        </w:rPr>
        <w:t xml:space="preserve">et la formation des équipes comptables. </w:t>
      </w:r>
    </w:p>
    <w:p w14:paraId="0E8CF717" w14:textId="77777777" w:rsidR="00F4254A" w:rsidRPr="00CF74D7" w:rsidRDefault="00F4254A" w:rsidP="00F4254A">
      <w:pPr>
        <w:pStyle w:val="Paragraphedeliste"/>
        <w:numPr>
          <w:ilvl w:val="0"/>
          <w:numId w:val="4"/>
        </w:num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ind w:left="284" w:hanging="284"/>
        <w:jc w:val="both"/>
        <w:rPr>
          <w:rFonts w:cs="Arial"/>
        </w:rPr>
      </w:pPr>
      <w:r w:rsidRPr="00CF74D7">
        <w:rPr>
          <w:rFonts w:cs="Arial"/>
        </w:rPr>
        <w:t xml:space="preserve">Enfin, une phase de test grandeur nature, menée avec un panel de fournisseurs stratégiques, permettra d'ajuster les processus avant le basculement définitif, garantissant ainsi que </w:t>
      </w:r>
      <w:r>
        <w:rPr>
          <w:rFonts w:cs="Arial"/>
        </w:rPr>
        <w:t>l’entreprise</w:t>
      </w:r>
      <w:r w:rsidRPr="00CF74D7">
        <w:rPr>
          <w:rFonts w:cs="Arial"/>
        </w:rPr>
        <w:t xml:space="preserve"> franchisse</w:t>
      </w:r>
      <w:r>
        <w:rPr>
          <w:rFonts w:cs="Arial"/>
        </w:rPr>
        <w:t xml:space="preserve"> cet obstacle sans encombre</w:t>
      </w:r>
      <w:r w:rsidRPr="00CF74D7">
        <w:rPr>
          <w:rFonts w:cs="Arial"/>
        </w:rPr>
        <w:t>.</w:t>
      </w:r>
    </w:p>
    <w:p w14:paraId="50EFF570" w14:textId="77777777" w:rsidR="00F4254A" w:rsidRDefault="00F4254A" w:rsidP="00F4254A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p w14:paraId="0B022704" w14:textId="77777777" w:rsidR="001B014B" w:rsidRDefault="001B014B"/>
    <w:sectPr w:rsidR="001B014B" w:rsidSect="00E958EA">
      <w:pgSz w:w="11906" w:h="16838"/>
      <w:pgMar w:top="851" w:right="73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2EBF"/>
    <w:multiLevelType w:val="hybridMultilevel"/>
    <w:tmpl w:val="03460E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54F7"/>
    <w:multiLevelType w:val="multilevel"/>
    <w:tmpl w:val="EE76E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377E0E"/>
    <w:multiLevelType w:val="hybridMultilevel"/>
    <w:tmpl w:val="6FD601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E2941"/>
    <w:multiLevelType w:val="hybridMultilevel"/>
    <w:tmpl w:val="95CE6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273F6"/>
    <w:multiLevelType w:val="multilevel"/>
    <w:tmpl w:val="EB06C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D26D1"/>
    <w:multiLevelType w:val="multilevel"/>
    <w:tmpl w:val="B2C60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73911897">
    <w:abstractNumId w:val="1"/>
  </w:num>
  <w:num w:numId="2" w16cid:durableId="1389307179">
    <w:abstractNumId w:val="0"/>
  </w:num>
  <w:num w:numId="3" w16cid:durableId="531647384">
    <w:abstractNumId w:val="3"/>
  </w:num>
  <w:num w:numId="4" w16cid:durableId="1780175124">
    <w:abstractNumId w:val="2"/>
  </w:num>
  <w:num w:numId="5" w16cid:durableId="1334183048">
    <w:abstractNumId w:val="4"/>
  </w:num>
  <w:num w:numId="6" w16cid:durableId="41394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EA"/>
    <w:rsid w:val="001B014B"/>
    <w:rsid w:val="001C1107"/>
    <w:rsid w:val="0021742B"/>
    <w:rsid w:val="00241004"/>
    <w:rsid w:val="003D3C17"/>
    <w:rsid w:val="00744B11"/>
    <w:rsid w:val="009D0F6C"/>
    <w:rsid w:val="00AD0E23"/>
    <w:rsid w:val="00C86D52"/>
    <w:rsid w:val="00E958EA"/>
    <w:rsid w:val="00F4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E67"/>
  <w15:chartTrackingRefBased/>
  <w15:docId w15:val="{81DCEB83-5881-4903-BF2C-4AEAF54E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EA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qFormat/>
    <w:rsid w:val="00E958EA"/>
    <w:pPr>
      <w:spacing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958EA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9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1072</Words>
  <Characters>6096</Characters>
  <Application>Microsoft Office Word</Application>
  <DocSecurity>0</DocSecurity>
  <Lines>96</Lines>
  <Paragraphs>45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2019-11-26T20:22:00Z</dcterms:created>
  <dcterms:modified xsi:type="dcterms:W3CDTF">2026-01-26T23:40:00Z</dcterms:modified>
</cp:coreProperties>
</file>