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520"/>
        <w:gridCol w:w="851"/>
        <w:gridCol w:w="1134"/>
      </w:tblGrid>
      <w:tr w:rsidR="00A8349D" w:rsidRPr="00A8349D" w14:paraId="1C29D367" w14:textId="77777777" w:rsidTr="003275B0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59D6AFF9" w14:textId="77777777" w:rsidR="00A8349D" w:rsidRPr="00A8349D" w:rsidRDefault="00A8349D" w:rsidP="00A8349D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r w:rsidRPr="00A8349D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>Réflexion 4 - Classer les conflits en fonction de leurs styles</w:t>
            </w:r>
          </w:p>
        </w:tc>
      </w:tr>
      <w:tr w:rsidR="00A8349D" w:rsidRPr="00A64003" w14:paraId="7A831DC3" w14:textId="77777777" w:rsidTr="003275B0">
        <w:trPr>
          <w:trHeight w:val="392"/>
        </w:trPr>
        <w:tc>
          <w:tcPr>
            <w:tcW w:w="1413" w:type="dxa"/>
            <w:shd w:val="clear" w:color="auto" w:fill="FFFF00"/>
            <w:vAlign w:val="center"/>
          </w:tcPr>
          <w:p w14:paraId="0B9FD822" w14:textId="77777777" w:rsidR="00A8349D" w:rsidRPr="00A64003" w:rsidRDefault="00A8349D" w:rsidP="003275B0">
            <w:pPr>
              <w:spacing w:before="0"/>
              <w:jc w:val="center"/>
            </w:pPr>
            <w:r w:rsidRPr="00A64003">
              <w:t xml:space="preserve">Durée : </w:t>
            </w:r>
            <w:r>
              <w:t>2</w:t>
            </w:r>
            <w:r w:rsidRPr="00A64003">
              <w:t>0</w:t>
            </w:r>
            <w:r>
              <w:t>’</w:t>
            </w:r>
          </w:p>
        </w:tc>
        <w:tc>
          <w:tcPr>
            <w:tcW w:w="6520" w:type="dxa"/>
            <w:shd w:val="clear" w:color="auto" w:fill="FFFF00"/>
            <w:vAlign w:val="center"/>
          </w:tcPr>
          <w:p w14:paraId="0E334F4B" w14:textId="77777777" w:rsidR="00A8349D" w:rsidRPr="00A64003" w:rsidRDefault="00A8349D" w:rsidP="003275B0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BDA4CE6" wp14:editId="60C50957">
                  <wp:extent cx="288000" cy="288000"/>
                  <wp:effectExtent l="0" t="0" r="0" b="0"/>
                  <wp:docPr id="3" name="Graphique 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02043D21" wp14:editId="77A9CB64">
                  <wp:extent cx="324000" cy="324000"/>
                  <wp:effectExtent l="0" t="0" r="0" b="0"/>
                  <wp:docPr id="5" name="Graphique 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175B9E6" w14:textId="77777777" w:rsidR="00A8349D" w:rsidRPr="00A64003" w:rsidRDefault="00A8349D" w:rsidP="003275B0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7ECA235" wp14:editId="5C17A4CB">
                  <wp:extent cx="369417" cy="360000"/>
                  <wp:effectExtent l="0" t="0" r="0" b="2540"/>
                  <wp:docPr id="1862952564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699B98" w14:textId="77777777" w:rsidR="00A8349D" w:rsidRPr="00A64003" w:rsidRDefault="00A8349D" w:rsidP="003275B0">
            <w:pPr>
              <w:spacing w:before="0"/>
              <w:jc w:val="center"/>
            </w:pPr>
            <w:r>
              <w:t>Source</w:t>
            </w:r>
          </w:p>
        </w:tc>
      </w:tr>
    </w:tbl>
    <w:p w14:paraId="1319B24F" w14:textId="77777777" w:rsidR="00A8349D" w:rsidRPr="00A8349D" w:rsidRDefault="00A8349D" w:rsidP="00A8349D">
      <w:pPr>
        <w:pStyle w:val="Titre3"/>
        <w:spacing w:before="240"/>
        <w:rPr>
          <w:rFonts w:ascii="Arial" w:eastAsia="Calibri" w:hAnsi="Arial" w:cs="Arial"/>
          <w:b/>
          <w:bCs/>
        </w:rPr>
      </w:pPr>
      <w:r w:rsidRPr="00A8349D">
        <w:rPr>
          <w:rFonts w:ascii="Arial" w:hAnsi="Arial" w:cs="Arial"/>
          <w:b/>
          <w:bCs/>
        </w:rPr>
        <w:t>Travail à faire </w:t>
      </w:r>
      <w:r w:rsidRPr="00A8349D">
        <w:rPr>
          <w:rFonts w:ascii="Arial" w:eastAsia="Calibri" w:hAnsi="Arial" w:cs="Arial"/>
          <w:b/>
          <w:bCs/>
        </w:rPr>
        <w:tab/>
      </w:r>
    </w:p>
    <w:p w14:paraId="62BDADB4" w14:textId="77777777" w:rsidR="00AD6B47" w:rsidRPr="00192E33" w:rsidRDefault="00AD6B47" w:rsidP="00AD6B47">
      <w:pPr>
        <w:pStyle w:val="tacheseurasment"/>
        <w:tabs>
          <w:tab w:val="left" w:pos="1809"/>
        </w:tabs>
        <w:spacing w:after="120"/>
        <w:rPr>
          <w:szCs w:val="18"/>
        </w:rPr>
      </w:pPr>
      <w:r w:rsidRPr="00192E33">
        <w:rPr>
          <w:rFonts w:cs="Arial"/>
          <w:szCs w:val="18"/>
        </w:rPr>
        <w:t>À</w:t>
      </w:r>
      <w:r w:rsidRPr="00192E33">
        <w:rPr>
          <w:szCs w:val="18"/>
        </w:rPr>
        <w:t xml:space="preserve"> l’aide du tableau suivant, qui définit les types de conflits existants, classez les différents conflits en fonction de leur style en cochant les bonnes réponses dans le tableau joint.</w:t>
      </w:r>
    </w:p>
    <w:p w14:paraId="21BDB61F" w14:textId="77777777" w:rsidR="00AD6B47" w:rsidRDefault="00AD6B47" w:rsidP="00AD6B47"/>
    <w:tbl>
      <w:tblPr>
        <w:tblStyle w:val="Grilledutableau"/>
        <w:tblW w:w="8075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075"/>
      </w:tblGrid>
      <w:tr w:rsidR="00AD6B47" w:rsidRPr="00113A54" w14:paraId="5F3BEFC4" w14:textId="77777777" w:rsidTr="00BF4657">
        <w:trPr>
          <w:jc w:val="center"/>
        </w:trPr>
        <w:tc>
          <w:tcPr>
            <w:tcW w:w="8075" w:type="dxa"/>
            <w:shd w:val="clear" w:color="auto" w:fill="C5E0B3" w:themeFill="accent6" w:themeFillTint="66"/>
          </w:tcPr>
          <w:p w14:paraId="0600940A" w14:textId="77777777" w:rsidR="00AD6B47" w:rsidRPr="00113A54" w:rsidRDefault="00AD6B47" w:rsidP="00BF4657">
            <w:pPr>
              <w:pStyle w:val="tacheseurasment"/>
              <w:spacing w:after="120"/>
              <w:jc w:val="center"/>
              <w:rPr>
                <w:b/>
                <w:sz w:val="22"/>
                <w:szCs w:val="20"/>
              </w:rPr>
            </w:pPr>
            <w:r w:rsidRPr="00113A54">
              <w:rPr>
                <w:b/>
                <w:sz w:val="22"/>
                <w:szCs w:val="20"/>
              </w:rPr>
              <w:t>Les styles de conflits</w:t>
            </w:r>
          </w:p>
        </w:tc>
      </w:tr>
      <w:tr w:rsidR="00AD6B47" w:rsidRPr="00192E33" w14:paraId="450F5AD8" w14:textId="77777777" w:rsidTr="00BF4657">
        <w:trPr>
          <w:jc w:val="center"/>
        </w:trPr>
        <w:tc>
          <w:tcPr>
            <w:tcW w:w="8075" w:type="dxa"/>
            <w:shd w:val="clear" w:color="auto" w:fill="E2EFD9" w:themeFill="accent6" w:themeFillTint="33"/>
          </w:tcPr>
          <w:p w14:paraId="196A0B85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d’autorité</w:t>
            </w:r>
            <w:r w:rsidRPr="00192E33">
              <w:rPr>
                <w:szCs w:val="18"/>
              </w:rPr>
              <w:t> : plusieurs personnes veulent décider.</w:t>
            </w:r>
          </w:p>
          <w:p w14:paraId="1448B494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culture </w:t>
            </w:r>
            <w:r w:rsidRPr="00192E33">
              <w:rPr>
                <w:szCs w:val="18"/>
              </w:rPr>
              <w:t>: conflit dû à la culture, l’éducation ou à des valeurs différentes.</w:t>
            </w:r>
          </w:p>
          <w:p w14:paraId="44443B47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d’intérêt </w:t>
            </w:r>
            <w:r w:rsidRPr="00192E33">
              <w:rPr>
                <w:szCs w:val="18"/>
              </w:rPr>
              <w:t>: risque de perdre un avantage au profit d’un collègue.</w:t>
            </w:r>
          </w:p>
          <w:p w14:paraId="08A2DE66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structure </w:t>
            </w:r>
            <w:r w:rsidRPr="00192E33">
              <w:rPr>
                <w:szCs w:val="18"/>
              </w:rPr>
              <w:t>: incompréhension dans les méthodes de travail.</w:t>
            </w:r>
          </w:p>
          <w:p w14:paraId="6B3AAD18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fonctions </w:t>
            </w:r>
            <w:r w:rsidRPr="00192E33">
              <w:rPr>
                <w:szCs w:val="18"/>
              </w:rPr>
              <w:t>: mauvaise définition des tâches.</w:t>
            </w:r>
          </w:p>
        </w:tc>
      </w:tr>
    </w:tbl>
    <w:p w14:paraId="646FB4B7" w14:textId="77777777" w:rsidR="00AD6B47" w:rsidRPr="00192E33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>Conflit 1</w:t>
      </w:r>
      <w:r w:rsidRPr="00192E33">
        <w:rPr>
          <w:rFonts w:cs="Arial"/>
          <w:b/>
          <w:color w:val="000000"/>
          <w:sz w:val="22"/>
          <w:szCs w:val="20"/>
        </w:rPr>
        <w:t xml:space="preserve"> : </w:t>
      </w:r>
    </w:p>
    <w:p w14:paraId="2C74C0CD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Le directeur décide de remplacer certains ordinateurs devenus trop vieux et trop lents. Pierre, le comptable avait insisté il y a quelques mois pour récupérer celui d’un collègue qui partait à la retraite. Aujourd’hui, Antoine son collègue et voisin de bureau va recevoir le sien tout neuf. </w:t>
      </w:r>
    </w:p>
    <w:p w14:paraId="161536AB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Pierre voudrait échanger le sien avec le nouve</w:t>
      </w:r>
      <w:r>
        <w:rPr>
          <w:rFonts w:cs="Arial"/>
          <w:color w:val="000000"/>
          <w:szCs w:val="18"/>
        </w:rPr>
        <w:t>l ordinateur</w:t>
      </w:r>
      <w:r w:rsidRPr="00192E33">
        <w:rPr>
          <w:rFonts w:cs="Arial"/>
          <w:color w:val="000000"/>
          <w:szCs w:val="18"/>
        </w:rPr>
        <w:t xml:space="preserve"> d’Antoine. Bien sûr, ce dernier ne veut rien entendre, il dit que Pierre a déjà été favorisé lorsqu’il a obtenu son ordinateur il y a quelques mois. </w:t>
      </w:r>
    </w:p>
    <w:p w14:paraId="46DEE875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Les relations sont tendues car chacun pense que l’autre devrait fournir un effort.</w:t>
      </w:r>
    </w:p>
    <w:p w14:paraId="70889C07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2 : </w:t>
      </w:r>
    </w:p>
    <w:p w14:paraId="43D6BC58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Le directeur des ressources humaines et le directeur administratif et financier voudraient tous les deux que l’assistant qui a été engagé pour un stage de trois mois au sein de l’entreprise puisse remplacer leur assistant personnel qui sera en vacances au mois d’août.</w:t>
      </w:r>
    </w:p>
    <w:p w14:paraId="200442EE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3 : </w:t>
      </w:r>
    </w:p>
    <w:p w14:paraId="5E88587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Lors d’une réunion de service, deux commerciaux s’opposent sur leurs méthodes de négociation. </w:t>
      </w:r>
    </w:p>
    <w:p w14:paraId="2FB682F5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Le ton monte car chacun trouve les procédés de l’autre inadmissibles. </w:t>
      </w:r>
    </w:p>
    <w:p w14:paraId="07CAAD8D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4 : </w:t>
      </w:r>
    </w:p>
    <w:p w14:paraId="0570A4B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Chen Sing et Arthur discutent devant la machine à café. Le jeune Chinois récemment arrivé dans l’entreprise ne comprend pas qu’Alice, l’assistante, fasse la bise à toutes les personnes du service lorsqu’elle arrive le matin. </w:t>
      </w:r>
    </w:p>
    <w:p w14:paraId="4D6B8D38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Il trouve cela déplacé et s’offusque de constater qu’Arthur ne voit rien d’anormal à cela. Ce dernier lui dit même que c’est souvent comme ça dans les autres entreprises et qu’Alice est malgré tout une jeune fille très bien. </w:t>
      </w:r>
    </w:p>
    <w:p w14:paraId="3215728A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Chen Sing reste dubitatif  et </w:t>
      </w:r>
      <w:r>
        <w:rPr>
          <w:rFonts w:cs="Arial"/>
          <w:color w:val="000000"/>
          <w:szCs w:val="18"/>
        </w:rPr>
        <w:t>il est</w:t>
      </w:r>
      <w:r w:rsidRPr="00192E33">
        <w:rPr>
          <w:rFonts w:cs="Arial"/>
          <w:color w:val="000000"/>
          <w:szCs w:val="18"/>
        </w:rPr>
        <w:t xml:space="preserve"> persuadé que c’est </w:t>
      </w:r>
      <w:r>
        <w:rPr>
          <w:rFonts w:cs="Arial"/>
          <w:color w:val="000000"/>
          <w:szCs w:val="18"/>
        </w:rPr>
        <w:t>un comportement</w:t>
      </w:r>
      <w:r w:rsidRPr="00192E33">
        <w:rPr>
          <w:rFonts w:cs="Arial"/>
          <w:color w:val="000000"/>
          <w:szCs w:val="18"/>
        </w:rPr>
        <w:t xml:space="preserve"> incorrect et préjudiciable pour Alice.</w:t>
      </w:r>
    </w:p>
    <w:p w14:paraId="7BD7DFC3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>Conflit 5 :</w:t>
      </w:r>
    </w:p>
    <w:p w14:paraId="23B02E8F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L’assistante du directeur des achats se fait réprimander par ce dernier car il attendait des tableaux récapitulatifs qui n’ont pas été faits.</w:t>
      </w:r>
    </w:p>
    <w:p w14:paraId="38F6DB0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L’assistante est sûre que ce travail ne lui a jamais été demandé, elle ne retrouve d’ailleurs aucune consigne écrite de sa part. </w:t>
      </w:r>
    </w:p>
    <w:p w14:paraId="713D3C0F" w14:textId="77777777" w:rsidR="00AD6B47" w:rsidRDefault="00AD6B47" w:rsidP="00AD6B47">
      <w:pPr>
        <w:pStyle w:val="tacheseurasment"/>
        <w:spacing w:before="0"/>
        <w:rPr>
          <w:rFonts w:cs="Arial"/>
          <w:color w:val="000000"/>
          <w:sz w:val="2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1635"/>
        <w:gridCol w:w="1647"/>
        <w:gridCol w:w="1562"/>
        <w:gridCol w:w="1830"/>
        <w:gridCol w:w="1586"/>
      </w:tblGrid>
      <w:tr w:rsidR="00AD6B47" w14:paraId="78C850EA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55360535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1</w:t>
            </w:r>
          </w:p>
        </w:tc>
        <w:tc>
          <w:tcPr>
            <w:tcW w:w="1635" w:type="dxa"/>
          </w:tcPr>
          <w:p w14:paraId="1472A28A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0CD24B4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7A9E6650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29C7F98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77BBC02C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2B357705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37D527CE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2</w:t>
            </w:r>
          </w:p>
        </w:tc>
        <w:tc>
          <w:tcPr>
            <w:tcW w:w="1635" w:type="dxa"/>
          </w:tcPr>
          <w:p w14:paraId="0764DAF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4331C48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674D0D63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12077E7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448B332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5672B21E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3D23C239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3</w:t>
            </w:r>
          </w:p>
        </w:tc>
        <w:tc>
          <w:tcPr>
            <w:tcW w:w="1635" w:type="dxa"/>
          </w:tcPr>
          <w:p w14:paraId="1FDEE28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44A4CBA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01269101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3F958F1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679EE98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127E0930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09281852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4</w:t>
            </w:r>
          </w:p>
        </w:tc>
        <w:tc>
          <w:tcPr>
            <w:tcW w:w="1635" w:type="dxa"/>
          </w:tcPr>
          <w:p w14:paraId="6239B91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5B7E5CC7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19BA2BB1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162AE04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05EA8F09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2A23E18C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083343C4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5</w:t>
            </w:r>
          </w:p>
        </w:tc>
        <w:tc>
          <w:tcPr>
            <w:tcW w:w="1635" w:type="dxa"/>
          </w:tcPr>
          <w:p w14:paraId="31BB7B10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006CEBE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6DA1F31F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78F8EB0A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005DD0E7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</w:tbl>
    <w:p w14:paraId="7F081A34" w14:textId="77777777" w:rsidR="00BF37FA" w:rsidRPr="00AD6B47" w:rsidRDefault="00BF37FA" w:rsidP="00AD6B47"/>
    <w:sectPr w:rsidR="00BF37FA" w:rsidRPr="00AD6B47" w:rsidSect="00CB7036">
      <w:headerReference w:type="default" r:id="rId12"/>
      <w:pgSz w:w="11906" w:h="16838"/>
      <w:pgMar w:top="993" w:right="991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0296" w14:textId="77777777" w:rsidR="005C1E86" w:rsidRDefault="005C1E86">
      <w:pPr>
        <w:spacing w:before="0"/>
      </w:pPr>
      <w:r>
        <w:separator/>
      </w:r>
    </w:p>
  </w:endnote>
  <w:endnote w:type="continuationSeparator" w:id="0">
    <w:p w14:paraId="3893E1B5" w14:textId="77777777" w:rsidR="005C1E86" w:rsidRDefault="005C1E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18C6" w14:textId="77777777" w:rsidR="005C1E86" w:rsidRDefault="005C1E86">
      <w:pPr>
        <w:spacing w:before="0"/>
      </w:pPr>
      <w:r>
        <w:separator/>
      </w:r>
    </w:p>
  </w:footnote>
  <w:footnote w:type="continuationSeparator" w:id="0">
    <w:p w14:paraId="053139C7" w14:textId="77777777" w:rsidR="005C1E86" w:rsidRDefault="005C1E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B9A" w14:textId="150D8619" w:rsidR="00000000" w:rsidRPr="00BA03FF" w:rsidRDefault="00596856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7D4B00">
      <w:rPr>
        <w:rStyle w:val="Numrodepage"/>
        <w:rFonts w:ascii="Arial" w:hAnsi="Arial" w:cs="Arial"/>
        <w:b/>
        <w:noProof/>
        <w:sz w:val="16"/>
        <w:szCs w:val="16"/>
      </w:rPr>
      <w:t>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A8349D">
      <w:rPr>
        <w:rStyle w:val="Numrodepage"/>
        <w:rFonts w:ascii="Arial" w:hAnsi="Arial" w:cs="Arial"/>
        <w:b/>
        <w:noProof/>
        <w:sz w:val="16"/>
        <w:szCs w:val="16"/>
      </w:rPr>
      <w:t>29/05/2025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3AE6AEE2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47C"/>
    <w:multiLevelType w:val="hybridMultilevel"/>
    <w:tmpl w:val="5BB23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49D"/>
    <w:multiLevelType w:val="hybridMultilevel"/>
    <w:tmpl w:val="0FA69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10073"/>
    <w:multiLevelType w:val="hybridMultilevel"/>
    <w:tmpl w:val="EE10888E"/>
    <w:lvl w:ilvl="0" w:tplc="3DAA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num w:numId="1" w16cid:durableId="364254630">
    <w:abstractNumId w:val="2"/>
  </w:num>
  <w:num w:numId="2" w16cid:durableId="1492136699">
    <w:abstractNumId w:val="4"/>
  </w:num>
  <w:num w:numId="3" w16cid:durableId="462426094">
    <w:abstractNumId w:val="0"/>
  </w:num>
  <w:num w:numId="4" w16cid:durableId="1223180525">
    <w:abstractNumId w:val="3"/>
  </w:num>
  <w:num w:numId="5" w16cid:durableId="212175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56"/>
    <w:rsid w:val="00030453"/>
    <w:rsid w:val="00326A3F"/>
    <w:rsid w:val="004B5A39"/>
    <w:rsid w:val="00596856"/>
    <w:rsid w:val="005C1E86"/>
    <w:rsid w:val="006C5161"/>
    <w:rsid w:val="007D4B00"/>
    <w:rsid w:val="00944A38"/>
    <w:rsid w:val="00A8349D"/>
    <w:rsid w:val="00A87A54"/>
    <w:rsid w:val="00AD6B47"/>
    <w:rsid w:val="00BD2F61"/>
    <w:rsid w:val="00BF37FA"/>
    <w:rsid w:val="00C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CC21"/>
  <w15:chartTrackingRefBased/>
  <w15:docId w15:val="{887385CF-F5A4-4599-9B73-1C77872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968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0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68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9685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9685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68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96856"/>
    <w:rPr>
      <w:color w:val="0000FF"/>
      <w:u w:val="single"/>
    </w:rPr>
  </w:style>
  <w:style w:type="character" w:styleId="Numrodepage">
    <w:name w:val="page number"/>
    <w:basedOn w:val="Policepardfaut"/>
    <w:rsid w:val="00596856"/>
  </w:style>
  <w:style w:type="paragraph" w:customStyle="1" w:styleId="Listecouleur-Accent11">
    <w:name w:val="Liste couleur - Accent 11"/>
    <w:basedOn w:val="Normal"/>
    <w:uiPriority w:val="34"/>
    <w:qFormat/>
    <w:rsid w:val="00596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6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59685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B7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B7036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CB703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2015-04-12T21:08:00Z</dcterms:created>
  <dcterms:modified xsi:type="dcterms:W3CDTF">2025-05-29T18:28:00Z</dcterms:modified>
</cp:coreProperties>
</file>