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520"/>
        <w:gridCol w:w="851"/>
        <w:gridCol w:w="1134"/>
      </w:tblGrid>
      <w:tr w:rsidR="005B1CAC" w:rsidRPr="005B1CAC" w14:paraId="2081D08E" w14:textId="77777777" w:rsidTr="00D90E13">
        <w:trPr>
          <w:trHeight w:val="386"/>
        </w:trPr>
        <w:tc>
          <w:tcPr>
            <w:tcW w:w="9918" w:type="dxa"/>
            <w:gridSpan w:val="4"/>
            <w:shd w:val="clear" w:color="auto" w:fill="FFFF00"/>
          </w:tcPr>
          <w:p w14:paraId="60907267" w14:textId="706F36BF" w:rsidR="005B1CAC" w:rsidRPr="005B1CAC" w:rsidRDefault="005B1CAC" w:rsidP="005B1CAC">
            <w:pPr>
              <w:pStyle w:val="Titre3"/>
              <w:spacing w:before="120" w:after="120"/>
              <w:jc w:val="center"/>
              <w:rPr>
                <w:rFonts w:ascii="Arial" w:hAnsi="Arial" w:cs="Arial"/>
                <w:b/>
                <w:bCs/>
                <w:sz w:val="28"/>
                <w:szCs w:val="22"/>
              </w:rPr>
            </w:pPr>
            <w:r w:rsidRPr="005B1CAC">
              <w:rPr>
                <w:rFonts w:ascii="Arial" w:hAnsi="Arial" w:cs="Arial"/>
                <w:b/>
                <w:bCs/>
                <w:sz w:val="28"/>
                <w:szCs w:val="22"/>
              </w:rPr>
              <w:t xml:space="preserve">Réflexion 3 – Identifier les </w:t>
            </w:r>
            <w:r w:rsidR="0076391E">
              <w:rPr>
                <w:rFonts w:ascii="Arial" w:hAnsi="Arial" w:cs="Arial"/>
                <w:b/>
                <w:bCs/>
                <w:sz w:val="28"/>
                <w:szCs w:val="22"/>
              </w:rPr>
              <w:t>effets</w:t>
            </w:r>
            <w:r w:rsidRPr="005B1CAC">
              <w:rPr>
                <w:rFonts w:ascii="Arial" w:hAnsi="Arial" w:cs="Arial"/>
                <w:b/>
                <w:bCs/>
                <w:sz w:val="28"/>
                <w:szCs w:val="22"/>
              </w:rPr>
              <w:t xml:space="preserve"> des conflits</w:t>
            </w:r>
          </w:p>
        </w:tc>
      </w:tr>
      <w:tr w:rsidR="005B1CAC" w:rsidRPr="005B1CAC" w14:paraId="621F9186" w14:textId="77777777" w:rsidTr="00D90E13">
        <w:trPr>
          <w:trHeight w:val="392"/>
        </w:trPr>
        <w:tc>
          <w:tcPr>
            <w:tcW w:w="1413" w:type="dxa"/>
            <w:shd w:val="clear" w:color="auto" w:fill="FFFF00"/>
            <w:vAlign w:val="center"/>
          </w:tcPr>
          <w:p w14:paraId="2F2AAA15" w14:textId="77777777" w:rsidR="005B1CAC" w:rsidRPr="005B1CAC" w:rsidRDefault="005B1CAC" w:rsidP="00D90E13">
            <w:pPr>
              <w:spacing w:before="0"/>
              <w:jc w:val="center"/>
              <w:rPr>
                <w:sz w:val="20"/>
                <w:szCs w:val="20"/>
              </w:rPr>
            </w:pPr>
            <w:r w:rsidRPr="005B1CAC">
              <w:rPr>
                <w:sz w:val="20"/>
                <w:szCs w:val="20"/>
              </w:rPr>
              <w:t>Durée : 20’</w:t>
            </w:r>
          </w:p>
        </w:tc>
        <w:tc>
          <w:tcPr>
            <w:tcW w:w="6520" w:type="dxa"/>
            <w:shd w:val="clear" w:color="auto" w:fill="FFFF00"/>
            <w:vAlign w:val="center"/>
          </w:tcPr>
          <w:p w14:paraId="12CBC0F2" w14:textId="77777777" w:rsidR="005B1CAC" w:rsidRPr="005B1CAC" w:rsidRDefault="005B1CAC" w:rsidP="00D90E13">
            <w:pPr>
              <w:spacing w:before="0"/>
              <w:jc w:val="center"/>
              <w:rPr>
                <w:sz w:val="20"/>
                <w:szCs w:val="20"/>
              </w:rPr>
            </w:pPr>
            <w:r w:rsidRPr="005B1CAC">
              <w:rPr>
                <w:noProof/>
                <w:sz w:val="20"/>
                <w:szCs w:val="20"/>
              </w:rPr>
              <w:drawing>
                <wp:inline distT="0" distB="0" distL="0" distR="0" wp14:anchorId="64E17B87" wp14:editId="394CE321">
                  <wp:extent cx="288000" cy="288000"/>
                  <wp:effectExtent l="0" t="0" r="0" b="0"/>
                  <wp:docPr id="1202122654" name="Graphique 120212265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5B1CAC">
              <w:rPr>
                <w:noProof/>
                <w:sz w:val="20"/>
                <w:szCs w:val="20"/>
              </w:rPr>
              <w:t xml:space="preserve">ou </w:t>
            </w:r>
            <w:r w:rsidRPr="005B1CAC">
              <w:rPr>
                <w:noProof/>
                <w:sz w:val="20"/>
                <w:szCs w:val="20"/>
              </w:rPr>
              <w:drawing>
                <wp:inline distT="0" distB="0" distL="0" distR="0" wp14:anchorId="55B230D8" wp14:editId="3008AFBA">
                  <wp:extent cx="324000" cy="324000"/>
                  <wp:effectExtent l="0" t="0" r="0" b="0"/>
                  <wp:docPr id="1994177520" name="Graphique 19941775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2DB5CB2C" w14:textId="77777777" w:rsidR="005B1CAC" w:rsidRPr="005B1CAC" w:rsidRDefault="005B1CAC" w:rsidP="00D90E13">
            <w:pPr>
              <w:spacing w:before="0"/>
              <w:jc w:val="center"/>
              <w:rPr>
                <w:sz w:val="20"/>
                <w:szCs w:val="20"/>
              </w:rPr>
            </w:pPr>
            <w:r w:rsidRPr="005B1CAC">
              <w:rPr>
                <w:noProof/>
                <w:sz w:val="20"/>
                <w:szCs w:val="20"/>
              </w:rPr>
              <w:drawing>
                <wp:inline distT="0" distB="0" distL="0" distR="0" wp14:anchorId="584A4391" wp14:editId="340EF914">
                  <wp:extent cx="369417" cy="360000"/>
                  <wp:effectExtent l="0" t="0" r="0" b="2540"/>
                  <wp:docPr id="653626145"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324026DC" w14:textId="77777777" w:rsidR="005B1CAC" w:rsidRPr="005B1CAC" w:rsidRDefault="005B1CAC" w:rsidP="00D90E13">
            <w:pPr>
              <w:spacing w:before="0"/>
              <w:jc w:val="center"/>
              <w:rPr>
                <w:sz w:val="20"/>
                <w:szCs w:val="20"/>
              </w:rPr>
            </w:pPr>
            <w:r w:rsidRPr="005B1CAC">
              <w:rPr>
                <w:sz w:val="20"/>
                <w:szCs w:val="20"/>
              </w:rPr>
              <w:t>Source</w:t>
            </w:r>
          </w:p>
        </w:tc>
      </w:tr>
    </w:tbl>
    <w:p w14:paraId="701EA615" w14:textId="77777777" w:rsidR="005B1CAC" w:rsidRPr="005B1CAC" w:rsidRDefault="005B1CAC" w:rsidP="005B1CAC">
      <w:pPr>
        <w:pStyle w:val="Titre3"/>
        <w:spacing w:before="120"/>
        <w:rPr>
          <w:rFonts w:ascii="Arial" w:eastAsia="Calibri" w:hAnsi="Arial" w:cs="Arial"/>
          <w:b/>
          <w:bCs/>
        </w:rPr>
      </w:pPr>
      <w:r w:rsidRPr="005B1CAC">
        <w:rPr>
          <w:rFonts w:ascii="Arial" w:hAnsi="Arial" w:cs="Arial"/>
          <w:b/>
          <w:bCs/>
        </w:rPr>
        <w:t>Travail à faire </w:t>
      </w:r>
      <w:r w:rsidRPr="005B1CAC">
        <w:rPr>
          <w:rFonts w:ascii="Arial" w:eastAsia="Calibri" w:hAnsi="Arial" w:cs="Arial"/>
          <w:b/>
          <w:bCs/>
        </w:rPr>
        <w:tab/>
      </w:r>
    </w:p>
    <w:p w14:paraId="62D65CC0" w14:textId="77777777" w:rsidR="005B1CAC" w:rsidRPr="005B1CAC" w:rsidRDefault="005B1CAC" w:rsidP="005B1CAC">
      <w:pPr>
        <w:rPr>
          <w:sz w:val="20"/>
          <w:szCs w:val="20"/>
          <w:lang w:eastAsia="fr-FR"/>
        </w:rPr>
      </w:pPr>
      <w:r w:rsidRPr="005B1CAC">
        <w:rPr>
          <w:sz w:val="20"/>
          <w:szCs w:val="20"/>
          <w:lang w:eastAsia="fr-FR"/>
        </w:rPr>
        <w:t>Après avoir lu ce document répondez aux questions suivantes :</w:t>
      </w:r>
    </w:p>
    <w:p w14:paraId="54B12BF5" w14:textId="77777777" w:rsidR="005B1CAC" w:rsidRPr="005B1CAC" w:rsidRDefault="005B1CAC" w:rsidP="005B1CAC">
      <w:pPr>
        <w:pStyle w:val="Paragraphedeliste"/>
        <w:numPr>
          <w:ilvl w:val="0"/>
          <w:numId w:val="6"/>
        </w:numPr>
        <w:ind w:left="284" w:hanging="284"/>
        <w:rPr>
          <w:sz w:val="20"/>
          <w:szCs w:val="20"/>
        </w:rPr>
      </w:pPr>
      <w:r w:rsidRPr="005B1CAC">
        <w:rPr>
          <w:sz w:val="20"/>
          <w:szCs w:val="20"/>
        </w:rPr>
        <w:t>Quels effets les conflits non résolus peuvent-ils avoir sur la santé mentale et physique des employés ?</w:t>
      </w:r>
    </w:p>
    <w:p w14:paraId="2BF039A9" w14:textId="77777777" w:rsidR="005B1CAC" w:rsidRPr="005B1CAC" w:rsidRDefault="005B1CAC" w:rsidP="005B1CAC">
      <w:pPr>
        <w:pStyle w:val="Paragraphedeliste"/>
        <w:numPr>
          <w:ilvl w:val="0"/>
          <w:numId w:val="6"/>
        </w:numPr>
        <w:ind w:left="284" w:hanging="284"/>
        <w:rPr>
          <w:sz w:val="20"/>
          <w:szCs w:val="20"/>
        </w:rPr>
      </w:pPr>
      <w:r w:rsidRPr="005B1CAC">
        <w:rPr>
          <w:sz w:val="20"/>
          <w:szCs w:val="20"/>
        </w:rPr>
        <w:t>Comment les conflits au travail peuvent-ils impacter la productivité d’une organisation ?</w:t>
      </w:r>
    </w:p>
    <w:p w14:paraId="39E0D233" w14:textId="77777777" w:rsidR="005B1CAC" w:rsidRPr="005B1CAC" w:rsidRDefault="005B1CAC" w:rsidP="005B1CAC">
      <w:pPr>
        <w:pStyle w:val="Paragraphedeliste"/>
        <w:numPr>
          <w:ilvl w:val="0"/>
          <w:numId w:val="6"/>
        </w:numPr>
        <w:ind w:left="284" w:hanging="284"/>
        <w:rPr>
          <w:sz w:val="20"/>
          <w:szCs w:val="20"/>
        </w:rPr>
      </w:pPr>
      <w:r w:rsidRPr="005B1CAC">
        <w:rPr>
          <w:sz w:val="20"/>
          <w:szCs w:val="20"/>
        </w:rPr>
        <w:t>Pourquoi les conflits non résolus peuvent-ils entraîner une augmentation du turnover dans une entreprise ?</w:t>
      </w:r>
    </w:p>
    <w:p w14:paraId="00ECC526" w14:textId="77777777" w:rsidR="005B1CAC" w:rsidRPr="005B1CAC" w:rsidRDefault="005B1CAC" w:rsidP="005B1CAC">
      <w:pPr>
        <w:pStyle w:val="Paragraphedeliste"/>
        <w:numPr>
          <w:ilvl w:val="0"/>
          <w:numId w:val="6"/>
        </w:numPr>
        <w:ind w:left="284" w:hanging="284"/>
        <w:rPr>
          <w:sz w:val="20"/>
          <w:szCs w:val="20"/>
        </w:rPr>
      </w:pPr>
      <w:r w:rsidRPr="005B1CAC">
        <w:rPr>
          <w:sz w:val="20"/>
          <w:szCs w:val="20"/>
        </w:rPr>
        <w:t>Quels sont les éléments clés permettant de gérer les conflits de manière proactive au sein d’une organisation ?</w:t>
      </w:r>
    </w:p>
    <w:p w14:paraId="1653F562" w14:textId="77777777" w:rsidR="005B1CAC" w:rsidRPr="005B1CAC" w:rsidRDefault="005B1CAC" w:rsidP="005B1CAC">
      <w:pPr>
        <w:pStyle w:val="Paragraphedeliste"/>
        <w:numPr>
          <w:ilvl w:val="0"/>
          <w:numId w:val="6"/>
        </w:numPr>
        <w:ind w:left="284" w:hanging="284"/>
        <w:rPr>
          <w:sz w:val="20"/>
          <w:szCs w:val="20"/>
        </w:rPr>
      </w:pPr>
      <w:r w:rsidRPr="005B1CAC">
        <w:rPr>
          <w:sz w:val="20"/>
          <w:szCs w:val="20"/>
        </w:rPr>
        <w:t>Comment la création d’un espace de travail inclusif peut-elle contribuer à la prévention des conflits ?</w:t>
      </w:r>
    </w:p>
    <w:p w14:paraId="2DF97B62" w14:textId="77777777" w:rsidR="005B1CAC" w:rsidRPr="00DE68DE" w:rsidRDefault="005B1CAC" w:rsidP="005B1CAC">
      <w:pPr>
        <w:spacing w:before="240"/>
        <w:rPr>
          <w:b/>
          <w:bCs/>
          <w:sz w:val="24"/>
          <w:szCs w:val="28"/>
          <w:lang w:eastAsia="fr-FR"/>
        </w:rPr>
      </w:pPr>
      <w:r w:rsidRPr="00DE68DE">
        <w:rPr>
          <w:b/>
          <w:bCs/>
          <w:color w:val="FFFFFF" w:themeColor="background1"/>
          <w:sz w:val="24"/>
          <w:szCs w:val="32"/>
          <w:highlight w:val="red"/>
        </w:rPr>
        <w:t>Doc. </w:t>
      </w:r>
      <w:r w:rsidRPr="00DE68DE">
        <w:rPr>
          <w:b/>
          <w:bCs/>
          <w:sz w:val="24"/>
          <w:szCs w:val="28"/>
        </w:rPr>
        <w:t xml:space="preserve">  </w:t>
      </w:r>
      <w:r w:rsidRPr="00DE68DE">
        <w:rPr>
          <w:b/>
          <w:bCs/>
          <w:sz w:val="24"/>
          <w:szCs w:val="28"/>
          <w:lang w:eastAsia="fr-FR"/>
        </w:rPr>
        <w:t>Conséquences des conflits au travail </w:t>
      </w:r>
    </w:p>
    <w:p w14:paraId="56FF2838" w14:textId="77777777" w:rsidR="005B1CAC" w:rsidRPr="00FC04C1" w:rsidRDefault="005B1CAC" w:rsidP="005B1CAC">
      <w:pPr>
        <w:rPr>
          <w:b/>
          <w:bCs/>
          <w:sz w:val="18"/>
          <w:szCs w:val="20"/>
          <w:lang w:eastAsia="fr-FR"/>
        </w:rPr>
      </w:pPr>
      <w:r w:rsidRPr="00FC04C1">
        <w:rPr>
          <w:b/>
          <w:bCs/>
          <w:sz w:val="18"/>
          <w:szCs w:val="20"/>
          <w:lang w:eastAsia="fr-FR"/>
        </w:rPr>
        <w:t xml:space="preserve">Source : </w:t>
      </w:r>
      <w:hyperlink r:id="rId12" w:history="1">
        <w:r w:rsidRPr="00FC04C1">
          <w:rPr>
            <w:rStyle w:val="Lienhypertexte"/>
            <w:b/>
            <w:bCs/>
            <w:sz w:val="18"/>
            <w:szCs w:val="20"/>
            <w:lang w:eastAsia="fr-FR"/>
          </w:rPr>
          <w:t>https://www.eleas.fr/</w:t>
        </w:r>
      </w:hyperlink>
      <w:r w:rsidRPr="00FC04C1">
        <w:rPr>
          <w:b/>
          <w:bCs/>
          <w:sz w:val="18"/>
          <w:szCs w:val="20"/>
          <w:lang w:eastAsia="fr-FR"/>
        </w:rPr>
        <w:t xml:space="preserve"> (modifié)</w:t>
      </w:r>
    </w:p>
    <w:p w14:paraId="15B6C4B9" w14:textId="77777777" w:rsidR="005B1CAC" w:rsidRPr="005B1CAC" w:rsidRDefault="005B1CAC" w:rsidP="005B1CAC">
      <w:pPr>
        <w:jc w:val="both"/>
        <w:rPr>
          <w:sz w:val="20"/>
          <w:szCs w:val="20"/>
        </w:rPr>
      </w:pPr>
      <w:r w:rsidRPr="005B1CAC">
        <w:rPr>
          <w:sz w:val="20"/>
          <w:szCs w:val="20"/>
        </w:rPr>
        <w:t>Les conflits non résolus en milieu professionnel peuvent entraîner des répercussions néfastes importantes, affectant à la fois les individus et l’organisation dans son ensemble. Voici quelques-unes des conséquences les plus courantes :</w:t>
      </w:r>
    </w:p>
    <w:p w14:paraId="1FA5BD3C" w14:textId="77777777" w:rsidR="005B1CAC" w:rsidRPr="005B1CAC" w:rsidRDefault="005B1CAC" w:rsidP="005B1CAC">
      <w:pPr>
        <w:jc w:val="both"/>
        <w:rPr>
          <w:sz w:val="20"/>
          <w:szCs w:val="20"/>
        </w:rPr>
      </w:pPr>
      <w:r w:rsidRPr="005B1CAC">
        <w:rPr>
          <w:b/>
          <w:bCs/>
          <w:sz w:val="20"/>
          <w:szCs w:val="20"/>
        </w:rPr>
        <w:t>Stress accru</w:t>
      </w:r>
      <w:r w:rsidRPr="005B1CAC">
        <w:rPr>
          <w:sz w:val="20"/>
          <w:szCs w:val="20"/>
        </w:rPr>
        <w:t xml:space="preserve"> : Les conflits génèrent du stress chez les individus impliqués ainsi que chez ceux qui y sont exposés indirectement. Le stress chronique peut avoir des effets dévastateurs sur la santé mentale et physique des employés, entraînant une diminution du bien-être global et une augmentation des absences liées à la santé. Cela peut également aggraver des problèmes de santé préexistants, comme l'hypertension ou les troubles du sommeil, amplifiant ainsi les risques pour les employés.</w:t>
      </w:r>
    </w:p>
    <w:p w14:paraId="345959F9" w14:textId="77777777" w:rsidR="005B1CAC" w:rsidRPr="005B1CAC" w:rsidRDefault="005B1CAC" w:rsidP="005B1CAC">
      <w:pPr>
        <w:jc w:val="both"/>
        <w:rPr>
          <w:sz w:val="20"/>
          <w:szCs w:val="20"/>
        </w:rPr>
      </w:pPr>
      <w:r w:rsidRPr="005B1CAC">
        <w:rPr>
          <w:b/>
          <w:bCs/>
          <w:sz w:val="20"/>
          <w:szCs w:val="20"/>
        </w:rPr>
        <w:t>Baisse de productivité</w:t>
      </w:r>
      <w:r w:rsidRPr="005B1CAC">
        <w:rPr>
          <w:sz w:val="20"/>
          <w:szCs w:val="20"/>
        </w:rPr>
        <w:t> : Lorsque les employés sont préoccupés par des conflits interpersonnels ou organisationnels, leur concentration et leur motivation peuvent diminuer, ce qui se traduit souvent par une baisse de la productivité. Les tensions au sein de l’équipe peuvent également entraver la collaboration et ralentir les projets. Une mauvaise gestion des conflits peut conduire à l’émergence de sous-groupes opposés, fragmentant ainsi le travail d’équipe.</w:t>
      </w:r>
    </w:p>
    <w:p w14:paraId="62DD819E" w14:textId="77777777" w:rsidR="005B1CAC" w:rsidRPr="005B1CAC" w:rsidRDefault="005B1CAC" w:rsidP="005B1CAC">
      <w:pPr>
        <w:jc w:val="both"/>
        <w:rPr>
          <w:sz w:val="20"/>
          <w:szCs w:val="20"/>
        </w:rPr>
      </w:pPr>
      <w:r w:rsidRPr="005B1CAC">
        <w:rPr>
          <w:b/>
          <w:bCs/>
          <w:sz w:val="20"/>
          <w:szCs w:val="20"/>
        </w:rPr>
        <w:t>Turnover accru</w:t>
      </w:r>
      <w:r w:rsidRPr="005B1CAC">
        <w:rPr>
          <w:sz w:val="20"/>
          <w:szCs w:val="20"/>
        </w:rPr>
        <w:t xml:space="preserve"> : Les conflits non résolus peuvent pousser les employés à chercher des opportunités ailleurs, ce qui entraîne un taux de rotation du personnel plus élevé. Le turnover coûteux peut non seulement perturber la continuité opérationnelle, mais aussi nuire à la réputation de l’entreprise en tant qu’employeur attractif. Les départs fréquents obligent les entreprises à investir davantage dans le recrutement et la formation de nouveaux employés, augmentant ainsi les coûts et les délais d'adaptation.</w:t>
      </w:r>
    </w:p>
    <w:p w14:paraId="66C27445" w14:textId="77777777" w:rsidR="005B1CAC" w:rsidRPr="005B1CAC" w:rsidRDefault="005B1CAC" w:rsidP="005B1CAC">
      <w:pPr>
        <w:jc w:val="both"/>
        <w:rPr>
          <w:sz w:val="20"/>
          <w:szCs w:val="20"/>
        </w:rPr>
      </w:pPr>
      <w:r w:rsidRPr="005B1CAC">
        <w:rPr>
          <w:b/>
          <w:bCs/>
          <w:sz w:val="20"/>
          <w:szCs w:val="20"/>
        </w:rPr>
        <w:t>Détérioration du climat social</w:t>
      </w:r>
      <w:r w:rsidRPr="005B1CAC">
        <w:rPr>
          <w:sz w:val="20"/>
          <w:szCs w:val="20"/>
        </w:rPr>
        <w:t xml:space="preserve"> : Les conflits non résolus peuvent créer un climat de méfiance, de ressentiment et de mécontentement au sein de l’organisation. Cela peut conduire à une diminution de l’engagement des employés, à une augmentation des rumeurs et des commérages, et à une diminution de la satisfaction globale au travail. À long terme, un tel environnement peut rendre les employés réticents à partager leurs idées ou à prendre des initiatives, limitant ainsi l'innovation.</w:t>
      </w:r>
    </w:p>
    <w:p w14:paraId="4CF36E28" w14:textId="77777777" w:rsidR="005B1CAC" w:rsidRPr="005B1CAC" w:rsidRDefault="005B1CAC" w:rsidP="005B1CAC">
      <w:pPr>
        <w:jc w:val="both"/>
        <w:rPr>
          <w:sz w:val="20"/>
          <w:szCs w:val="20"/>
        </w:rPr>
      </w:pPr>
      <w:r w:rsidRPr="005B1CAC">
        <w:rPr>
          <w:sz w:val="20"/>
          <w:szCs w:val="20"/>
        </w:rPr>
        <w:t>De plus, les conflits latents, même lorsqu'ils ne sont pas visibles, peuvent créer une tension sous-jacente qui affecte toutes les interactions au sein de l'organisation. Cette tension peut inhiber la prise de décision collective et diminuer la capacité de l'organisation à répondre aux défis externes, comme les changements sur le marché ou les crises économiques.</w:t>
      </w:r>
    </w:p>
    <w:p w14:paraId="31D5CE5F" w14:textId="77777777" w:rsidR="005B1CAC" w:rsidRPr="005B1CAC" w:rsidRDefault="005B1CAC" w:rsidP="005B1CAC">
      <w:pPr>
        <w:jc w:val="both"/>
        <w:rPr>
          <w:sz w:val="20"/>
          <w:szCs w:val="20"/>
        </w:rPr>
      </w:pPr>
      <w:r w:rsidRPr="005B1CAC">
        <w:rPr>
          <w:b/>
          <w:bCs/>
          <w:sz w:val="20"/>
          <w:szCs w:val="20"/>
        </w:rPr>
        <w:t>Pour atténuer ces impacts négatifs</w:t>
      </w:r>
      <w:r w:rsidRPr="005B1CAC">
        <w:rPr>
          <w:sz w:val="20"/>
          <w:szCs w:val="20"/>
        </w:rPr>
        <w:t>, il est crucial que les dirigeants identifient les conflits à un stade précoce. Mettre en place des solutions proactives comme des ateliers de communication interpersonnelle ou un accès à des consultants en gestion des conflits peut aider à prévenir l'escalade. Une approche transparente et équitable dans la résolution des conflits renforce également la confiance des employés envers leur hiérarchie.</w:t>
      </w:r>
    </w:p>
    <w:p w14:paraId="725AE42E" w14:textId="77777777" w:rsidR="005B1CAC" w:rsidRPr="005B1CAC" w:rsidRDefault="005B1CAC" w:rsidP="005B1CAC">
      <w:pPr>
        <w:jc w:val="both"/>
        <w:rPr>
          <w:sz w:val="20"/>
          <w:szCs w:val="20"/>
        </w:rPr>
      </w:pPr>
      <w:r w:rsidRPr="005B1CAC">
        <w:rPr>
          <w:sz w:val="20"/>
          <w:szCs w:val="20"/>
        </w:rPr>
        <w:t>Enfin, la création d’un espace de travail où les employés se sentent écoutés et respectés joue un rôle clé dans la prévention des conflits. En adoptant une culture d’inclusion et de respect mutuel, les entreprises peuvent non seulement réduire les tensions mais également favoriser un environnement où chacun peut s’épanouir professionnellement. Ainsi, un investissement dans la gestion proactive des conflits est non seulement bénéfique pour le bien-être des employés, mais également pour la pérennité et la performance globale de l’organisation.</w:t>
      </w:r>
    </w:p>
    <w:p w14:paraId="23F0B877" w14:textId="77777777" w:rsidR="005B1CAC" w:rsidRDefault="005B1CAC" w:rsidP="005B1CAC">
      <w:pPr>
        <w:rPr>
          <w:sz w:val="20"/>
          <w:szCs w:val="20"/>
          <w:lang w:eastAsia="fr-FR"/>
        </w:rPr>
      </w:pPr>
    </w:p>
    <w:p w14:paraId="278FD393" w14:textId="77777777" w:rsidR="005B1CAC" w:rsidRDefault="005B1CAC" w:rsidP="005B1CAC">
      <w:pPr>
        <w:rPr>
          <w:sz w:val="20"/>
          <w:szCs w:val="20"/>
          <w:lang w:eastAsia="fr-FR"/>
        </w:rPr>
      </w:pPr>
    </w:p>
    <w:p w14:paraId="4A6F22A9" w14:textId="77777777" w:rsidR="005B1CAC" w:rsidRPr="005B1CAC" w:rsidRDefault="005B1CAC" w:rsidP="005B1CAC">
      <w:pPr>
        <w:rPr>
          <w:sz w:val="20"/>
          <w:szCs w:val="20"/>
          <w:lang w:eastAsia="fr-FR"/>
        </w:rPr>
      </w:pPr>
    </w:p>
    <w:p w14:paraId="34D5FD0D" w14:textId="4D6F4A93" w:rsidR="005B1CAC" w:rsidRPr="005B1CAC" w:rsidRDefault="005B1CAC" w:rsidP="005B1CAC">
      <w:pPr>
        <w:pStyle w:val="Titre3"/>
        <w:spacing w:before="120"/>
        <w:rPr>
          <w:rFonts w:ascii="Arial" w:eastAsia="Calibri" w:hAnsi="Arial" w:cs="Arial"/>
          <w:b/>
          <w:bCs/>
        </w:rPr>
      </w:pPr>
      <w:r>
        <w:rPr>
          <w:rFonts w:ascii="Arial" w:hAnsi="Arial" w:cs="Arial"/>
          <w:b/>
          <w:bCs/>
        </w:rPr>
        <w:lastRenderedPageBreak/>
        <w:t>Réponses</w:t>
      </w:r>
      <w:r w:rsidRPr="005B1CAC">
        <w:rPr>
          <w:rFonts w:ascii="Arial" w:hAnsi="Arial" w:cs="Arial"/>
          <w:b/>
          <w:bCs/>
        </w:rPr>
        <w:t> </w:t>
      </w:r>
      <w:r w:rsidRPr="005B1CAC">
        <w:rPr>
          <w:rFonts w:ascii="Arial" w:eastAsia="Calibri" w:hAnsi="Arial" w:cs="Arial"/>
          <w:b/>
          <w:bCs/>
        </w:rPr>
        <w:tab/>
      </w:r>
    </w:p>
    <w:p w14:paraId="5B32B705" w14:textId="77777777" w:rsidR="005B1CAC" w:rsidRPr="005B1CAC" w:rsidRDefault="005B1CAC" w:rsidP="005B1CAC">
      <w:pPr>
        <w:pStyle w:val="Paragraphedeliste"/>
        <w:numPr>
          <w:ilvl w:val="0"/>
          <w:numId w:val="7"/>
        </w:numPr>
        <w:rPr>
          <w:b/>
          <w:bCs/>
          <w:sz w:val="20"/>
          <w:szCs w:val="20"/>
        </w:rPr>
      </w:pPr>
      <w:r w:rsidRPr="005B1CAC">
        <w:rPr>
          <w:b/>
          <w:bCs/>
          <w:sz w:val="20"/>
          <w:szCs w:val="20"/>
        </w:rPr>
        <w:t>Quels effets les conflits non résolus peuvent-ils avoir sur la santé mentale et physique des employés ?</w:t>
      </w:r>
    </w:p>
    <w:p w14:paraId="24D439F0" w14:textId="77777777" w:rsidR="005B1CAC" w:rsidRDefault="005B1CAC" w:rsidP="005B1CAC">
      <w:pPr>
        <w:rPr>
          <w:sz w:val="20"/>
          <w:szCs w:val="20"/>
        </w:rPr>
      </w:pPr>
    </w:p>
    <w:p w14:paraId="171C387F" w14:textId="77777777" w:rsidR="005B1CAC" w:rsidRDefault="005B1CAC" w:rsidP="005B1CAC">
      <w:pPr>
        <w:rPr>
          <w:sz w:val="20"/>
          <w:szCs w:val="20"/>
        </w:rPr>
      </w:pPr>
    </w:p>
    <w:p w14:paraId="7D4302DF" w14:textId="77777777" w:rsidR="005B1CAC" w:rsidRPr="005B1CAC" w:rsidRDefault="005B1CAC" w:rsidP="005B1CAC">
      <w:pPr>
        <w:rPr>
          <w:sz w:val="20"/>
          <w:szCs w:val="20"/>
        </w:rPr>
      </w:pPr>
    </w:p>
    <w:p w14:paraId="43A4207F" w14:textId="77777777" w:rsidR="005B1CAC" w:rsidRPr="005B1CAC" w:rsidRDefault="005B1CAC" w:rsidP="005B1CAC">
      <w:pPr>
        <w:pStyle w:val="Paragraphedeliste"/>
        <w:numPr>
          <w:ilvl w:val="0"/>
          <w:numId w:val="7"/>
        </w:numPr>
        <w:rPr>
          <w:b/>
          <w:bCs/>
          <w:sz w:val="20"/>
          <w:szCs w:val="20"/>
        </w:rPr>
      </w:pPr>
      <w:r w:rsidRPr="005B1CAC">
        <w:rPr>
          <w:b/>
          <w:bCs/>
          <w:sz w:val="20"/>
          <w:szCs w:val="20"/>
        </w:rPr>
        <w:t>Comment les conflits au travail peuvent-ils impacter la productivité d’une organisation ?</w:t>
      </w:r>
    </w:p>
    <w:p w14:paraId="703D6510" w14:textId="77777777" w:rsidR="005B1CAC" w:rsidRDefault="005B1CAC" w:rsidP="005B1CAC">
      <w:pPr>
        <w:rPr>
          <w:sz w:val="20"/>
          <w:szCs w:val="20"/>
        </w:rPr>
      </w:pPr>
    </w:p>
    <w:p w14:paraId="2095AD55" w14:textId="77777777" w:rsidR="005B1CAC" w:rsidRDefault="005B1CAC" w:rsidP="005B1CAC">
      <w:pPr>
        <w:rPr>
          <w:sz w:val="20"/>
          <w:szCs w:val="20"/>
        </w:rPr>
      </w:pPr>
    </w:p>
    <w:p w14:paraId="680A021E" w14:textId="77777777" w:rsidR="005B1CAC" w:rsidRPr="005B1CAC" w:rsidRDefault="005B1CAC" w:rsidP="005B1CAC">
      <w:pPr>
        <w:rPr>
          <w:sz w:val="20"/>
          <w:szCs w:val="20"/>
        </w:rPr>
      </w:pPr>
    </w:p>
    <w:p w14:paraId="0A7F6E46" w14:textId="77777777" w:rsidR="005B1CAC" w:rsidRPr="005B1CAC" w:rsidRDefault="005B1CAC" w:rsidP="005B1CAC">
      <w:pPr>
        <w:pStyle w:val="Paragraphedeliste"/>
        <w:numPr>
          <w:ilvl w:val="0"/>
          <w:numId w:val="7"/>
        </w:numPr>
        <w:rPr>
          <w:b/>
          <w:bCs/>
          <w:sz w:val="20"/>
          <w:szCs w:val="20"/>
        </w:rPr>
      </w:pPr>
      <w:r w:rsidRPr="005B1CAC">
        <w:rPr>
          <w:b/>
          <w:bCs/>
          <w:sz w:val="20"/>
          <w:szCs w:val="20"/>
        </w:rPr>
        <w:t>Pourquoi les conflits non résolus peuvent-ils entraîner une augmentation du turnover dans une entreprise ?</w:t>
      </w:r>
    </w:p>
    <w:p w14:paraId="19707992" w14:textId="77777777" w:rsidR="005B1CAC" w:rsidRDefault="005B1CAC" w:rsidP="005B1CAC">
      <w:pPr>
        <w:rPr>
          <w:sz w:val="20"/>
          <w:szCs w:val="20"/>
        </w:rPr>
      </w:pPr>
    </w:p>
    <w:p w14:paraId="2E0D3556" w14:textId="77777777" w:rsidR="005B1CAC" w:rsidRDefault="005B1CAC" w:rsidP="005B1CAC">
      <w:pPr>
        <w:rPr>
          <w:sz w:val="20"/>
          <w:szCs w:val="20"/>
        </w:rPr>
      </w:pPr>
    </w:p>
    <w:p w14:paraId="360BDEED" w14:textId="77777777" w:rsidR="005B1CAC" w:rsidRPr="005B1CAC" w:rsidRDefault="005B1CAC" w:rsidP="005B1CAC">
      <w:pPr>
        <w:rPr>
          <w:sz w:val="20"/>
          <w:szCs w:val="20"/>
        </w:rPr>
      </w:pPr>
    </w:p>
    <w:p w14:paraId="55B62781" w14:textId="77777777" w:rsidR="005B1CAC" w:rsidRPr="005B1CAC" w:rsidRDefault="005B1CAC" w:rsidP="005B1CAC">
      <w:pPr>
        <w:pStyle w:val="Paragraphedeliste"/>
        <w:numPr>
          <w:ilvl w:val="0"/>
          <w:numId w:val="7"/>
        </w:numPr>
        <w:rPr>
          <w:b/>
          <w:bCs/>
          <w:sz w:val="20"/>
          <w:szCs w:val="20"/>
        </w:rPr>
      </w:pPr>
      <w:r w:rsidRPr="005B1CAC">
        <w:rPr>
          <w:b/>
          <w:bCs/>
          <w:sz w:val="20"/>
          <w:szCs w:val="20"/>
        </w:rPr>
        <w:t>Quels sont les éléments clés permettant de gérer les conflits de manière proactive au sein d’une organisation ?</w:t>
      </w:r>
    </w:p>
    <w:p w14:paraId="7D4F254A" w14:textId="77777777" w:rsidR="005B1CAC" w:rsidRDefault="005B1CAC" w:rsidP="005B1CAC">
      <w:pPr>
        <w:rPr>
          <w:sz w:val="20"/>
          <w:szCs w:val="20"/>
        </w:rPr>
      </w:pPr>
    </w:p>
    <w:p w14:paraId="5878609E" w14:textId="77777777" w:rsidR="005B1CAC" w:rsidRDefault="005B1CAC" w:rsidP="005B1CAC">
      <w:pPr>
        <w:rPr>
          <w:sz w:val="20"/>
          <w:szCs w:val="20"/>
        </w:rPr>
      </w:pPr>
    </w:p>
    <w:p w14:paraId="5A522F1D" w14:textId="77777777" w:rsidR="005B1CAC" w:rsidRPr="005B1CAC" w:rsidRDefault="005B1CAC" w:rsidP="005B1CAC">
      <w:pPr>
        <w:rPr>
          <w:sz w:val="20"/>
          <w:szCs w:val="20"/>
        </w:rPr>
      </w:pPr>
    </w:p>
    <w:p w14:paraId="481662EB" w14:textId="77777777" w:rsidR="005B1CAC" w:rsidRPr="005B1CAC" w:rsidRDefault="005B1CAC" w:rsidP="005B1CAC">
      <w:pPr>
        <w:pStyle w:val="Paragraphedeliste"/>
        <w:numPr>
          <w:ilvl w:val="0"/>
          <w:numId w:val="7"/>
        </w:numPr>
        <w:rPr>
          <w:b/>
          <w:bCs/>
          <w:sz w:val="20"/>
          <w:szCs w:val="20"/>
        </w:rPr>
      </w:pPr>
      <w:r w:rsidRPr="005B1CAC">
        <w:rPr>
          <w:b/>
          <w:bCs/>
          <w:sz w:val="20"/>
          <w:szCs w:val="20"/>
        </w:rPr>
        <w:t>Comment la création d’un espace de travail inclusif peut-elle contribuer à la prévention des conflits ?</w:t>
      </w:r>
    </w:p>
    <w:p w14:paraId="7F081A34" w14:textId="77777777" w:rsidR="00BF37FA" w:rsidRPr="005B1CAC" w:rsidRDefault="00BF37FA" w:rsidP="005B1CAC">
      <w:pPr>
        <w:rPr>
          <w:sz w:val="20"/>
          <w:szCs w:val="20"/>
        </w:rPr>
      </w:pPr>
    </w:p>
    <w:sectPr w:rsidR="00BF37FA" w:rsidRPr="005B1CAC" w:rsidSect="005B1CAC">
      <w:headerReference w:type="default" r:id="rId13"/>
      <w:pgSz w:w="11906" w:h="16838"/>
      <w:pgMar w:top="851" w:right="851" w:bottom="851"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BEFA" w14:textId="77777777" w:rsidR="00C342C0" w:rsidRDefault="00C342C0">
      <w:pPr>
        <w:spacing w:before="0"/>
      </w:pPr>
      <w:r>
        <w:separator/>
      </w:r>
    </w:p>
  </w:endnote>
  <w:endnote w:type="continuationSeparator" w:id="0">
    <w:p w14:paraId="34AF6963" w14:textId="77777777" w:rsidR="00C342C0" w:rsidRDefault="00C342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8B28" w14:textId="77777777" w:rsidR="00C342C0" w:rsidRDefault="00C342C0">
      <w:pPr>
        <w:spacing w:before="0"/>
      </w:pPr>
      <w:r>
        <w:separator/>
      </w:r>
    </w:p>
  </w:footnote>
  <w:footnote w:type="continuationSeparator" w:id="0">
    <w:p w14:paraId="15E3C0DF" w14:textId="77777777" w:rsidR="00C342C0" w:rsidRDefault="00C342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AEE2" w14:textId="090B0891" w:rsidR="007A1D0F" w:rsidRDefault="00596856" w:rsidP="005B1CAC">
    <w:pPr>
      <w:pStyle w:val="En-tte"/>
      <w:tabs>
        <w:tab w:val="clear" w:pos="4536"/>
        <w:tab w:val="clear" w:pos="9072"/>
        <w:tab w:val="center" w:pos="4820"/>
        <w:tab w:val="right" w:pos="10065"/>
      </w:tabs>
    </w:pPr>
    <w:proofErr w:type="gramStart"/>
    <w:r w:rsidRPr="00BA03FF">
      <w:rPr>
        <w:rFonts w:ascii="Arial" w:hAnsi="Arial" w:cs="Arial"/>
        <w:b/>
        <w:sz w:val="16"/>
        <w:szCs w:val="16"/>
      </w:rPr>
      <w:t>cterrier</w:t>
    </w:r>
    <w:proofErr w:type="gramEnd"/>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7D4B00">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76391E">
      <w:rPr>
        <w:rStyle w:val="Numrodepage"/>
        <w:rFonts w:ascii="Arial" w:hAnsi="Arial" w:cs="Arial"/>
        <w:b/>
        <w:noProof/>
        <w:sz w:val="16"/>
        <w:szCs w:val="16"/>
      </w:rPr>
      <w:t>29/05/2025</w:t>
    </w:r>
    <w:r w:rsidRPr="00BA03FF">
      <w:rPr>
        <w:rStyle w:val="Numrodepage"/>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D77C4A"/>
    <w:multiLevelType w:val="hybridMultilevel"/>
    <w:tmpl w:val="CA9A29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6" w15:restartNumberingAfterBreak="0">
    <w:nsid w:val="52294518"/>
    <w:multiLevelType w:val="hybridMultilevel"/>
    <w:tmpl w:val="CBD0830C"/>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64254630">
    <w:abstractNumId w:val="3"/>
  </w:num>
  <w:num w:numId="2" w16cid:durableId="1492136699">
    <w:abstractNumId w:val="5"/>
  </w:num>
  <w:num w:numId="3" w16cid:durableId="462426094">
    <w:abstractNumId w:val="0"/>
  </w:num>
  <w:num w:numId="4" w16cid:durableId="1223180525">
    <w:abstractNumId w:val="4"/>
  </w:num>
  <w:num w:numId="5" w16cid:durableId="2121755461">
    <w:abstractNumId w:val="2"/>
  </w:num>
  <w:num w:numId="6" w16cid:durableId="1983540460">
    <w:abstractNumId w:val="6"/>
  </w:num>
  <w:num w:numId="7" w16cid:durableId="40515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00814"/>
    <w:rsid w:val="00326A3F"/>
    <w:rsid w:val="004B5A39"/>
    <w:rsid w:val="00585398"/>
    <w:rsid w:val="00596856"/>
    <w:rsid w:val="005B1CAC"/>
    <w:rsid w:val="006C5161"/>
    <w:rsid w:val="0076391E"/>
    <w:rsid w:val="007A1D0F"/>
    <w:rsid w:val="007D4B00"/>
    <w:rsid w:val="00944A38"/>
    <w:rsid w:val="00A27950"/>
    <w:rsid w:val="00A87A54"/>
    <w:rsid w:val="00AD6B47"/>
    <w:rsid w:val="00BD2F61"/>
    <w:rsid w:val="00BF37FA"/>
    <w:rsid w:val="00C342C0"/>
    <w:rsid w:val="00CB7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C21"/>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CB70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CB7036"/>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CB7036"/>
    <w:pPr>
      <w:tabs>
        <w:tab w:val="center" w:pos="4536"/>
        <w:tab w:val="right" w:pos="9072"/>
      </w:tabs>
      <w:spacing w:before="0"/>
    </w:pPr>
  </w:style>
  <w:style w:type="character" w:customStyle="1" w:styleId="PieddepageCar">
    <w:name w:val="Pied de page Car"/>
    <w:basedOn w:val="Policepardfaut"/>
    <w:link w:val="Pieddepage"/>
    <w:uiPriority w:val="99"/>
    <w:rsid w:val="00CB7036"/>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ea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750</Words>
  <Characters>4129</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2015-04-12T21:08:00Z</dcterms:created>
  <dcterms:modified xsi:type="dcterms:W3CDTF">2025-05-29T18:08:00Z</dcterms:modified>
</cp:coreProperties>
</file>