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4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992"/>
        <w:gridCol w:w="6"/>
      </w:tblGrid>
      <w:tr w:rsidR="00F66D6E" w:rsidRPr="009B76C7" w14:paraId="367368AD" w14:textId="77777777" w:rsidTr="00D91F15">
        <w:trPr>
          <w:trHeight w:val="386"/>
        </w:trPr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ED0AC6B" w14:textId="0A72AE3D" w:rsidR="00F66D6E" w:rsidRPr="009B76C7" w:rsidRDefault="00F66D6E" w:rsidP="00D91F15">
            <w:pPr>
              <w:pStyle w:val="Titre2"/>
              <w:jc w:val="center"/>
              <w:rPr>
                <w:szCs w:val="22"/>
              </w:rPr>
            </w:pPr>
            <w:r>
              <w:rPr>
                <w:szCs w:val="22"/>
                <w:lang w:eastAsia="en-US"/>
              </w:rPr>
              <w:t>Réflexion</w:t>
            </w:r>
            <w:r w:rsidRPr="009B76C7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6</w:t>
            </w:r>
            <w:r w:rsidRPr="009B76C7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–</w:t>
            </w:r>
            <w:r w:rsidRPr="009B76C7">
              <w:rPr>
                <w:szCs w:val="22"/>
                <w:lang w:eastAsia="en-US"/>
              </w:rPr>
              <w:t xml:space="preserve"> </w:t>
            </w:r>
            <w:r w:rsidR="001A68F8">
              <w:rPr>
                <w:szCs w:val="22"/>
              </w:rPr>
              <w:t>R</w:t>
            </w:r>
            <w:r>
              <w:rPr>
                <w:szCs w:val="22"/>
              </w:rPr>
              <w:t xml:space="preserve">édiger une lettre d’information </w:t>
            </w:r>
            <w:r w:rsidR="001A68F8">
              <w:rPr>
                <w:szCs w:val="22"/>
              </w:rPr>
              <w:t>avec une IA Générative</w:t>
            </w:r>
            <w:r w:rsidRPr="009B76C7">
              <w:rPr>
                <w:szCs w:val="22"/>
              </w:rPr>
              <w:t xml:space="preserve"> </w:t>
            </w:r>
          </w:p>
        </w:tc>
      </w:tr>
      <w:tr w:rsidR="00F66D6E" w14:paraId="32EFBF5C" w14:textId="77777777" w:rsidTr="00D91F15">
        <w:trPr>
          <w:gridAfter w:val="1"/>
          <w:wAfter w:w="6" w:type="dxa"/>
          <w:trHeight w:val="50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04838C98" w14:textId="77777777" w:rsidR="00F66D6E" w:rsidRDefault="00F66D6E" w:rsidP="00D91F15">
            <w:pPr>
              <w:jc w:val="center"/>
              <w:rPr>
                <w:rFonts w:cs="Arial"/>
              </w:rPr>
            </w:pPr>
            <w:r w:rsidRPr="008D3279">
              <w:rPr>
                <w:rFonts w:cs="Arial"/>
              </w:rPr>
              <w:t>Durée</w:t>
            </w:r>
            <w:r>
              <w:rPr>
                <w:rFonts w:cs="Arial"/>
              </w:rPr>
              <w:t xml:space="preserve"> : 15’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5B54B3B" w14:textId="77777777" w:rsidR="00F66D6E" w:rsidRDefault="00F66D6E" w:rsidP="00D91F15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B084B30" wp14:editId="78394D7F">
                  <wp:extent cx="288000" cy="288000"/>
                  <wp:effectExtent l="0" t="0" r="0" b="0"/>
                  <wp:docPr id="1526013423" name="Graphique 152601342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495EF1E7" wp14:editId="5A7312FE">
                  <wp:extent cx="323593" cy="291322"/>
                  <wp:effectExtent l="0" t="0" r="0" b="0"/>
                  <wp:docPr id="1618978192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2392" name="Graphique 1111682392" descr="Deux hommes avec un remplissage uni"/>
                          <pic:cNvPicPr/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58" b="5415"/>
                          <a:stretch/>
                        </pic:blipFill>
                        <pic:spPr bwMode="auto">
                          <a:xfrm>
                            <a:off x="0" y="0"/>
                            <a:ext cx="324000" cy="29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713F01F" w14:textId="77777777" w:rsidR="00F66D6E" w:rsidRDefault="00F66D6E" w:rsidP="00D91F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328D0E0E" w14:textId="77777777" w:rsidR="00F66D6E" w:rsidRPr="009B76C7" w:rsidRDefault="00F66D6E" w:rsidP="00F66D6E">
      <w:pPr>
        <w:autoSpaceDE w:val="0"/>
        <w:autoSpaceDN w:val="0"/>
        <w:adjustRightInd w:val="0"/>
        <w:spacing w:before="120" w:after="120"/>
        <w:rPr>
          <w:rFonts w:eastAsia="EuropeanPiStd-3" w:cs="Arial"/>
          <w:b/>
          <w:sz w:val="24"/>
          <w:szCs w:val="24"/>
        </w:rPr>
      </w:pPr>
      <w:r w:rsidRPr="009B76C7">
        <w:rPr>
          <w:rFonts w:eastAsia="EuropeanPiStd-3" w:cs="Arial"/>
          <w:b/>
          <w:sz w:val="24"/>
          <w:szCs w:val="24"/>
        </w:rPr>
        <w:t>Travail à faire</w:t>
      </w:r>
    </w:p>
    <w:p w14:paraId="6860FC8F" w14:textId="77777777" w:rsidR="00F66D6E" w:rsidRPr="00D40989" w:rsidRDefault="00F66D6E" w:rsidP="00F66D6E">
      <w:pPr>
        <w:tabs>
          <w:tab w:val="left" w:pos="16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Vous</w:t>
      </w:r>
      <w:r w:rsidRPr="00D40989">
        <w:rPr>
          <w:rFonts w:cs="Arial"/>
          <w:bCs/>
        </w:rPr>
        <w:t xml:space="preserve"> travaille</w:t>
      </w:r>
      <w:r>
        <w:rPr>
          <w:rFonts w:cs="Arial"/>
          <w:bCs/>
        </w:rPr>
        <w:t>z</w:t>
      </w:r>
      <w:r w:rsidRPr="00D40989">
        <w:rPr>
          <w:rFonts w:cs="Arial"/>
          <w:bCs/>
        </w:rPr>
        <w:t xml:space="preserve"> pour la société </w:t>
      </w:r>
      <w:proofErr w:type="spellStart"/>
      <w:r w:rsidRPr="00D40989">
        <w:rPr>
          <w:rFonts w:cs="Arial"/>
          <w:bCs/>
        </w:rPr>
        <w:t>HypeVet</w:t>
      </w:r>
      <w:proofErr w:type="spellEnd"/>
      <w:r w:rsidRPr="00D40989">
        <w:rPr>
          <w:rFonts w:cs="Arial"/>
          <w:bCs/>
        </w:rPr>
        <w:t xml:space="preserve"> qui fabrique des vêtements. Afin de répondre </w:t>
      </w:r>
      <w:r>
        <w:rPr>
          <w:rFonts w:cs="Arial"/>
          <w:bCs/>
        </w:rPr>
        <w:t xml:space="preserve">à </w:t>
      </w:r>
      <w:r w:rsidRPr="00D40989">
        <w:rPr>
          <w:rFonts w:cs="Arial"/>
          <w:bCs/>
        </w:rPr>
        <w:t>une demande de plus en plus forte des clients qui trouve</w:t>
      </w:r>
      <w:r>
        <w:rPr>
          <w:rFonts w:cs="Arial"/>
          <w:bCs/>
        </w:rPr>
        <w:t>nt</w:t>
      </w:r>
      <w:r w:rsidRPr="00D40989">
        <w:rPr>
          <w:rFonts w:cs="Arial"/>
          <w:bCs/>
        </w:rPr>
        <w:t xml:space="preserve"> que les délais de livraison sont trop longs</w:t>
      </w:r>
      <w:r>
        <w:rPr>
          <w:rFonts w:cs="Arial"/>
          <w:bCs/>
        </w:rPr>
        <w:t>,</w:t>
      </w:r>
      <w:r w:rsidRPr="00D40989">
        <w:rPr>
          <w:rFonts w:cs="Arial"/>
          <w:bCs/>
        </w:rPr>
        <w:t xml:space="preserve"> la société </w:t>
      </w:r>
      <w:r>
        <w:rPr>
          <w:rFonts w:cs="Arial"/>
          <w:bCs/>
        </w:rPr>
        <w:t>a</w:t>
      </w:r>
      <w:r w:rsidRPr="00D40989">
        <w:rPr>
          <w:rFonts w:cs="Arial"/>
          <w:bCs/>
        </w:rPr>
        <w:t xml:space="preserve"> réorganis</w:t>
      </w:r>
      <w:r>
        <w:rPr>
          <w:rFonts w:cs="Arial"/>
          <w:bCs/>
        </w:rPr>
        <w:t>é</w:t>
      </w:r>
      <w:r w:rsidRPr="00D40989">
        <w:rPr>
          <w:rFonts w:cs="Arial"/>
          <w:bCs/>
        </w:rPr>
        <w:t xml:space="preserve"> la gestion de</w:t>
      </w:r>
      <w:r>
        <w:rPr>
          <w:rFonts w:cs="Arial"/>
          <w:bCs/>
        </w:rPr>
        <w:t>s</w:t>
      </w:r>
      <w:r w:rsidRPr="00D40989">
        <w:rPr>
          <w:rFonts w:cs="Arial"/>
          <w:bCs/>
        </w:rPr>
        <w:t xml:space="preserve"> approvisionnements, de </w:t>
      </w:r>
      <w:r>
        <w:rPr>
          <w:rFonts w:cs="Arial"/>
          <w:bCs/>
        </w:rPr>
        <w:t>la</w:t>
      </w:r>
      <w:r w:rsidRPr="00D40989">
        <w:rPr>
          <w:rFonts w:cs="Arial"/>
          <w:bCs/>
        </w:rPr>
        <w:t xml:space="preserve"> production, de</w:t>
      </w:r>
      <w:r>
        <w:rPr>
          <w:rFonts w:cs="Arial"/>
          <w:bCs/>
        </w:rPr>
        <w:t>s</w:t>
      </w:r>
      <w:r w:rsidRPr="00D40989">
        <w:rPr>
          <w:rFonts w:cs="Arial"/>
          <w:bCs/>
        </w:rPr>
        <w:t xml:space="preserve"> livraison</w:t>
      </w:r>
      <w:r>
        <w:rPr>
          <w:rFonts w:cs="Arial"/>
          <w:bCs/>
        </w:rPr>
        <w:t>s</w:t>
      </w:r>
      <w:r w:rsidRPr="00D40989">
        <w:rPr>
          <w:rFonts w:cs="Arial"/>
          <w:bCs/>
        </w:rPr>
        <w:t>, et des règlements clients.</w:t>
      </w:r>
    </w:p>
    <w:p w14:paraId="6BC5F31B" w14:textId="77777777" w:rsidR="00F66D6E" w:rsidRPr="00D40989" w:rsidRDefault="00F66D6E" w:rsidP="00F66D6E">
      <w:pPr>
        <w:tabs>
          <w:tab w:val="left" w:pos="16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V</w:t>
      </w:r>
      <w:r w:rsidRPr="00D40989">
        <w:rPr>
          <w:rFonts w:cs="Arial"/>
          <w:bCs/>
        </w:rPr>
        <w:t xml:space="preserve">ous devez faire part des modifications </w:t>
      </w:r>
      <w:r>
        <w:rPr>
          <w:rFonts w:cs="Arial"/>
          <w:bCs/>
        </w:rPr>
        <w:t xml:space="preserve">des condition de livraison et de règlement </w:t>
      </w:r>
      <w:r w:rsidRPr="00D40989">
        <w:rPr>
          <w:rFonts w:cs="Arial"/>
          <w:bCs/>
        </w:rPr>
        <w:t>aux clients.</w:t>
      </w:r>
    </w:p>
    <w:p w14:paraId="240C4800" w14:textId="55DE83C1" w:rsidR="00F66D6E" w:rsidRPr="00322866" w:rsidRDefault="00F66D6E" w:rsidP="00F66D6E">
      <w:pPr>
        <w:tabs>
          <w:tab w:val="left" w:pos="1620"/>
        </w:tabs>
        <w:spacing w:before="120" w:after="120"/>
        <w:rPr>
          <w:rFonts w:cs="Arial"/>
          <w:bCs/>
        </w:rPr>
      </w:pPr>
      <w:r w:rsidRPr="00322866">
        <w:rPr>
          <w:rFonts w:cs="Arial"/>
          <w:bCs/>
        </w:rPr>
        <w:t>Demandez à un</w:t>
      </w:r>
      <w:r w:rsidR="00322866" w:rsidRPr="00322866">
        <w:rPr>
          <w:rFonts w:cs="Arial"/>
          <w:bCs/>
        </w:rPr>
        <w:t>e</w:t>
      </w:r>
      <w:r w:rsidRPr="00322866">
        <w:rPr>
          <w:rFonts w:cs="Arial"/>
          <w:bCs/>
        </w:rPr>
        <w:t xml:space="preserve"> IA Générative de concevoir ce courrier d’information.</w:t>
      </w:r>
    </w:p>
    <w:p w14:paraId="0632DEC7" w14:textId="77777777" w:rsidR="00F66D6E" w:rsidRDefault="00F66D6E" w:rsidP="00F66D6E">
      <w:pPr>
        <w:tabs>
          <w:tab w:val="left" w:pos="1620"/>
        </w:tabs>
        <w:spacing w:before="120" w:after="120"/>
        <w:rPr>
          <w:rFonts w:cs="Arial"/>
          <w:b/>
        </w:rPr>
      </w:pPr>
    </w:p>
    <w:p w14:paraId="6899234D" w14:textId="77777777" w:rsidR="00F66D6E" w:rsidRPr="002F3B2E" w:rsidRDefault="00F66D6E" w:rsidP="00F66D6E">
      <w:pPr>
        <w:tabs>
          <w:tab w:val="left" w:pos="1620"/>
        </w:tabs>
        <w:spacing w:before="120" w:after="120"/>
        <w:rPr>
          <w:rFonts w:cs="Arial"/>
          <w:b/>
          <w:bCs/>
          <w:sz w:val="24"/>
          <w:szCs w:val="28"/>
        </w:rPr>
      </w:pPr>
      <w:r w:rsidRPr="00D40989">
        <w:rPr>
          <w:rFonts w:cs="Arial"/>
          <w:b/>
          <w:color w:val="FFFFFF" w:themeColor="background1"/>
          <w:sz w:val="24"/>
          <w:szCs w:val="28"/>
          <w:highlight w:val="red"/>
        </w:rPr>
        <w:t>Doc. 1</w:t>
      </w:r>
      <w:r w:rsidRPr="00D40989">
        <w:rPr>
          <w:rFonts w:cs="Arial"/>
          <w:b/>
          <w:sz w:val="24"/>
          <w:szCs w:val="28"/>
        </w:rPr>
        <w:t xml:space="preserve"> </w:t>
      </w:r>
      <w:r w:rsidRPr="002F3B2E">
        <w:rPr>
          <w:rFonts w:cs="Arial"/>
          <w:b/>
          <w:bCs/>
          <w:sz w:val="24"/>
          <w:szCs w:val="28"/>
        </w:rPr>
        <w:t>Fonctionnement du délai de paiement entre les entreprises</w:t>
      </w:r>
    </w:p>
    <w:p w14:paraId="55EC24DA" w14:textId="77777777" w:rsidR="00F66D6E" w:rsidRPr="002F3B2E" w:rsidRDefault="00F66D6E" w:rsidP="00F66D6E">
      <w:pPr>
        <w:tabs>
          <w:tab w:val="left" w:pos="1620"/>
        </w:tabs>
        <w:spacing w:before="120"/>
        <w:rPr>
          <w:rFonts w:cs="Arial"/>
        </w:rPr>
      </w:pPr>
      <w:r w:rsidRPr="002F3B2E">
        <w:rPr>
          <w:rFonts w:cs="Arial"/>
        </w:rPr>
        <w:t>Le cas général du délai de paiement</w:t>
      </w:r>
    </w:p>
    <w:p w14:paraId="5F4E9DE7" w14:textId="77777777" w:rsidR="00F66D6E" w:rsidRPr="002F3B2E" w:rsidRDefault="00F66D6E" w:rsidP="00F66D6E">
      <w:pPr>
        <w:tabs>
          <w:tab w:val="left" w:pos="1620"/>
        </w:tabs>
        <w:spacing w:before="120"/>
        <w:rPr>
          <w:rFonts w:cs="Arial"/>
        </w:rPr>
      </w:pPr>
      <w:r w:rsidRPr="002F3B2E">
        <w:rPr>
          <w:rFonts w:cs="Arial"/>
        </w:rPr>
        <w:t>Le plafonnement des délais de paiement est fixé par les articles L441-10 et suivants du code de commerce.</w:t>
      </w:r>
    </w:p>
    <w:p w14:paraId="660C9788" w14:textId="77777777" w:rsidR="00F66D6E" w:rsidRPr="002F3B2E" w:rsidRDefault="00F66D6E" w:rsidP="00F66D6E">
      <w:pPr>
        <w:tabs>
          <w:tab w:val="left" w:pos="1620"/>
        </w:tabs>
        <w:spacing w:before="120"/>
        <w:rPr>
          <w:rFonts w:cs="Arial"/>
        </w:rPr>
      </w:pPr>
      <w:r w:rsidRPr="002F3B2E">
        <w:rPr>
          <w:rFonts w:cs="Arial"/>
        </w:rPr>
        <w:t>L'article L441-10 du code de commerce fixe les règles générales :</w:t>
      </w:r>
    </w:p>
    <w:p w14:paraId="0C1E3CD6" w14:textId="77777777" w:rsidR="00F66D6E" w:rsidRPr="002F3B2E" w:rsidRDefault="00F66D6E" w:rsidP="00F66D6E">
      <w:pPr>
        <w:numPr>
          <w:ilvl w:val="0"/>
          <w:numId w:val="1"/>
        </w:numPr>
        <w:tabs>
          <w:tab w:val="left" w:pos="1620"/>
        </w:tabs>
        <w:rPr>
          <w:rFonts w:cs="Arial"/>
        </w:rPr>
      </w:pPr>
      <w:r w:rsidRPr="002F3B2E">
        <w:rPr>
          <w:rFonts w:cs="Arial"/>
        </w:rPr>
        <w:t>sauf accord entre les parties, le délai de règlement est fixé à 30 jours à compter de la date de réception des marchandises ou d'exécution de la prestation</w:t>
      </w:r>
    </w:p>
    <w:p w14:paraId="7F109DF4" w14:textId="77777777" w:rsidR="00F66D6E" w:rsidRPr="002F3B2E" w:rsidRDefault="00F66D6E" w:rsidP="00F66D6E">
      <w:pPr>
        <w:numPr>
          <w:ilvl w:val="0"/>
          <w:numId w:val="1"/>
        </w:numPr>
        <w:tabs>
          <w:tab w:val="left" w:pos="1620"/>
        </w:tabs>
        <w:rPr>
          <w:rFonts w:cs="Arial"/>
        </w:rPr>
      </w:pPr>
      <w:r w:rsidRPr="002F3B2E">
        <w:rPr>
          <w:rFonts w:cs="Arial"/>
        </w:rPr>
        <w:t>le délai convenu entre les parties ne peut dépasser 60 jours à compter de la date d'émission de la facture</w:t>
      </w:r>
    </w:p>
    <w:p w14:paraId="3B888D08" w14:textId="77777777" w:rsidR="00F66D6E" w:rsidRPr="002F3B2E" w:rsidRDefault="00F66D6E" w:rsidP="00F66D6E">
      <w:pPr>
        <w:numPr>
          <w:ilvl w:val="0"/>
          <w:numId w:val="1"/>
        </w:numPr>
        <w:tabs>
          <w:tab w:val="left" w:pos="1620"/>
        </w:tabs>
        <w:rPr>
          <w:rFonts w:cs="Arial"/>
        </w:rPr>
      </w:pPr>
      <w:r w:rsidRPr="002F3B2E">
        <w:rPr>
          <w:rFonts w:cs="Arial"/>
        </w:rPr>
        <w:t>par dérogation, un délai maximal de 45 jours fin de mois à compter de la date d'émission de la facture peut être convenu par contrat entre les parties</w:t>
      </w:r>
    </w:p>
    <w:p w14:paraId="00973B42" w14:textId="77777777" w:rsidR="00F66D6E" w:rsidRPr="002F3B2E" w:rsidRDefault="00F66D6E" w:rsidP="00F66D6E">
      <w:pPr>
        <w:numPr>
          <w:ilvl w:val="0"/>
          <w:numId w:val="1"/>
        </w:numPr>
        <w:tabs>
          <w:tab w:val="left" w:pos="1620"/>
        </w:tabs>
        <w:rPr>
          <w:rFonts w:cs="Arial"/>
        </w:rPr>
      </w:pPr>
      <w:r w:rsidRPr="002F3B2E">
        <w:rPr>
          <w:rFonts w:cs="Arial"/>
        </w:rPr>
        <w:t>en cas de facture périodique, le délai convenu ne peut dépasser 45 jours à compter de la date d'émission de la facture, conformément à l'article 123 de la loi n° 2014-344 du 17 mars 2014.</w:t>
      </w:r>
    </w:p>
    <w:p w14:paraId="44C9142A" w14:textId="77777777" w:rsidR="00F66D6E" w:rsidRPr="002F3B2E" w:rsidRDefault="00F66D6E" w:rsidP="00F66D6E">
      <w:pPr>
        <w:tabs>
          <w:tab w:val="left" w:pos="1620"/>
        </w:tabs>
        <w:spacing w:before="120"/>
        <w:rPr>
          <w:rFonts w:cs="Arial"/>
        </w:rPr>
      </w:pPr>
      <w:r w:rsidRPr="002F3B2E">
        <w:rPr>
          <w:rFonts w:cs="Arial"/>
        </w:rPr>
        <w:t>Le mode de computation du délai de 45 jours fin de mois n'est pas imposé par la loi ; les opérateurs ont ainsi la liberté de le calculer de deux manières : soit en ajoutant 45 jours à la fin du mois d'émission de la facture, soit en ajoutant 45 jours à la date d’émission puis en allant jusqu’à la fin du mois. Le mode de calcul retenu doit toutefois être convenu au préalable entre les partenaires commerciaux afin d’éviter toute ambiguïté.</w:t>
      </w:r>
    </w:p>
    <w:p w14:paraId="71176A25" w14:textId="77777777" w:rsidR="00F66D6E" w:rsidRDefault="00F66D6E" w:rsidP="00F66D6E">
      <w:pPr>
        <w:tabs>
          <w:tab w:val="left" w:pos="1620"/>
        </w:tabs>
        <w:spacing w:before="120" w:after="120"/>
        <w:rPr>
          <w:rFonts w:cs="Arial"/>
          <w:b/>
        </w:rPr>
      </w:pPr>
    </w:p>
    <w:p w14:paraId="2A4FFF69" w14:textId="25B601D7" w:rsidR="00F66D6E" w:rsidRPr="000E3A2F" w:rsidRDefault="00F66D6E" w:rsidP="00F66D6E">
      <w:pPr>
        <w:tabs>
          <w:tab w:val="left" w:pos="1620"/>
        </w:tabs>
        <w:spacing w:before="120" w:after="120"/>
        <w:rPr>
          <w:rFonts w:cs="Arial"/>
          <w:b/>
          <w:sz w:val="24"/>
          <w:szCs w:val="28"/>
        </w:rPr>
      </w:pPr>
      <w:r w:rsidRPr="000E3A2F">
        <w:rPr>
          <w:rFonts w:cs="Arial"/>
          <w:b/>
          <w:color w:val="FFFFFF" w:themeColor="background1"/>
          <w:sz w:val="24"/>
          <w:szCs w:val="28"/>
          <w:highlight w:val="red"/>
        </w:rPr>
        <w:t>Doc. 2</w:t>
      </w:r>
      <w:r w:rsidRPr="000E3A2F">
        <w:rPr>
          <w:rFonts w:cs="Arial"/>
          <w:b/>
          <w:color w:val="FFFFFF" w:themeColor="background1"/>
          <w:sz w:val="24"/>
          <w:szCs w:val="28"/>
        </w:rPr>
        <w:t xml:space="preserve"> </w:t>
      </w:r>
      <w:r w:rsidRPr="000E3A2F">
        <w:rPr>
          <w:rFonts w:cs="Arial"/>
          <w:b/>
          <w:sz w:val="24"/>
          <w:szCs w:val="28"/>
        </w:rPr>
        <w:t xml:space="preserve">Décision </w:t>
      </w:r>
      <w:r>
        <w:rPr>
          <w:rFonts w:cs="Arial"/>
          <w:b/>
          <w:sz w:val="24"/>
          <w:szCs w:val="28"/>
        </w:rPr>
        <w:t>de la direction</w:t>
      </w:r>
    </w:p>
    <w:p w14:paraId="5A061D42" w14:textId="77777777" w:rsidR="00F66D6E" w:rsidRPr="00D40989" w:rsidRDefault="00F66D6E" w:rsidP="00F66D6E">
      <w:pPr>
        <w:tabs>
          <w:tab w:val="left" w:pos="1620"/>
        </w:tabs>
        <w:spacing w:before="120" w:after="120"/>
        <w:rPr>
          <w:rFonts w:cs="Arial"/>
          <w:bCs/>
        </w:rPr>
      </w:pPr>
      <w:r w:rsidRPr="00D40989">
        <w:rPr>
          <w:rFonts w:cs="Arial"/>
          <w:bCs/>
        </w:rPr>
        <w:t>La direction de la société en accord avec la direction commerciale et la direction de la production a</w:t>
      </w:r>
      <w:r>
        <w:rPr>
          <w:rFonts w:cs="Arial"/>
          <w:bCs/>
        </w:rPr>
        <w:t xml:space="preserve"> pris</w:t>
      </w:r>
      <w:r w:rsidRPr="00D40989">
        <w:rPr>
          <w:rFonts w:cs="Arial"/>
          <w:bCs/>
        </w:rPr>
        <w:t xml:space="preserve"> la décision de modifier les conditions de règlement qui sont accordés au</w:t>
      </w:r>
      <w:r>
        <w:rPr>
          <w:rFonts w:cs="Arial"/>
          <w:bCs/>
        </w:rPr>
        <w:t>x</w:t>
      </w:r>
      <w:r w:rsidRPr="00D40989">
        <w:rPr>
          <w:rFonts w:cs="Arial"/>
          <w:bCs/>
        </w:rPr>
        <w:t xml:space="preserve"> client</w:t>
      </w:r>
      <w:r>
        <w:rPr>
          <w:rFonts w:cs="Arial"/>
          <w:bCs/>
        </w:rPr>
        <w:t>s</w:t>
      </w:r>
      <w:r w:rsidRPr="00D40989">
        <w:rPr>
          <w:rFonts w:cs="Arial"/>
          <w:bCs/>
        </w:rPr>
        <w:t>. Afin d’être en conformité avec la loi Les délais de règlement accord</w:t>
      </w:r>
      <w:r>
        <w:rPr>
          <w:rFonts w:cs="Arial"/>
          <w:bCs/>
        </w:rPr>
        <w:t>é</w:t>
      </w:r>
      <w:r w:rsidRPr="00D40989">
        <w:rPr>
          <w:rFonts w:cs="Arial"/>
          <w:bCs/>
        </w:rPr>
        <w:t xml:space="preserve"> aux clients </w:t>
      </w:r>
      <w:r>
        <w:rPr>
          <w:rFonts w:cs="Arial"/>
          <w:bCs/>
        </w:rPr>
        <w:t>est ramené</w:t>
      </w:r>
      <w:r w:rsidRPr="00D40989">
        <w:rPr>
          <w:rFonts w:cs="Arial"/>
          <w:bCs/>
        </w:rPr>
        <w:t xml:space="preserve"> de 45 jours </w:t>
      </w:r>
      <w:r>
        <w:rPr>
          <w:rFonts w:cs="Arial"/>
          <w:bCs/>
        </w:rPr>
        <w:t>à compter de la livraison (</w:t>
      </w:r>
      <w:r w:rsidRPr="00D40989">
        <w:rPr>
          <w:rFonts w:cs="Arial"/>
          <w:bCs/>
        </w:rPr>
        <w:t>délai actuel</w:t>
      </w:r>
      <w:r>
        <w:rPr>
          <w:rFonts w:cs="Arial"/>
          <w:bCs/>
        </w:rPr>
        <w:t>) à</w:t>
      </w:r>
      <w:r w:rsidRPr="00D40989">
        <w:rPr>
          <w:rFonts w:cs="Arial"/>
          <w:bCs/>
        </w:rPr>
        <w:t xml:space="preserve"> 30 jours</w:t>
      </w:r>
      <w:r>
        <w:rPr>
          <w:rFonts w:cs="Arial"/>
          <w:bCs/>
        </w:rPr>
        <w:t xml:space="preserve"> à compter de la facturation</w:t>
      </w:r>
      <w:r w:rsidRPr="00D40989">
        <w:rPr>
          <w:rFonts w:cs="Arial"/>
          <w:bCs/>
        </w:rPr>
        <w:t>.</w:t>
      </w:r>
    </w:p>
    <w:p w14:paraId="379D5D12" w14:textId="77777777" w:rsidR="00F66D6E" w:rsidRPr="00D40989" w:rsidRDefault="00F66D6E" w:rsidP="00F66D6E">
      <w:pPr>
        <w:tabs>
          <w:tab w:val="left" w:pos="1620"/>
        </w:tabs>
        <w:spacing w:before="120" w:after="120"/>
        <w:rPr>
          <w:rFonts w:cs="Arial"/>
          <w:bCs/>
        </w:rPr>
      </w:pPr>
      <w:r w:rsidRPr="00D40989">
        <w:rPr>
          <w:rFonts w:cs="Arial"/>
          <w:bCs/>
        </w:rPr>
        <w:t>Par ailleurs la société modifi</w:t>
      </w:r>
      <w:r>
        <w:rPr>
          <w:rFonts w:cs="Arial"/>
          <w:bCs/>
        </w:rPr>
        <w:t>e</w:t>
      </w:r>
      <w:r w:rsidRPr="00D40989">
        <w:rPr>
          <w:rFonts w:cs="Arial"/>
          <w:bCs/>
        </w:rPr>
        <w:t xml:space="preserve"> </w:t>
      </w:r>
      <w:r>
        <w:rPr>
          <w:rFonts w:cs="Arial"/>
          <w:bCs/>
        </w:rPr>
        <w:t>l</w:t>
      </w:r>
      <w:r w:rsidRPr="00D40989">
        <w:rPr>
          <w:rFonts w:cs="Arial"/>
          <w:bCs/>
        </w:rPr>
        <w:t>a politique d'approvisionnement</w:t>
      </w:r>
      <w:r>
        <w:rPr>
          <w:rFonts w:cs="Arial"/>
          <w:bCs/>
        </w:rPr>
        <w:t xml:space="preserve"> en mettant en œuvre un nouveau cadencement des approvisionnements avec ses fournisseurs </w:t>
      </w:r>
      <w:r w:rsidRPr="00D40989">
        <w:rPr>
          <w:rFonts w:cs="Arial"/>
          <w:bCs/>
        </w:rPr>
        <w:t>afin de fluidifier</w:t>
      </w:r>
      <w:r>
        <w:rPr>
          <w:rFonts w:cs="Arial"/>
          <w:bCs/>
        </w:rPr>
        <w:t xml:space="preserve"> les livraisons et la production</w:t>
      </w:r>
      <w:r w:rsidRPr="00D40989">
        <w:rPr>
          <w:rFonts w:cs="Arial"/>
          <w:bCs/>
        </w:rPr>
        <w:t>. Cette évolution permet de réduire les délais de fabrication. Il en résulte que les délais de livraison aux clients qui étai</w:t>
      </w:r>
      <w:r>
        <w:rPr>
          <w:rFonts w:cs="Arial"/>
          <w:bCs/>
        </w:rPr>
        <w:t>en</w:t>
      </w:r>
      <w:r w:rsidRPr="00D40989">
        <w:rPr>
          <w:rFonts w:cs="Arial"/>
          <w:bCs/>
        </w:rPr>
        <w:t xml:space="preserve">t de 14 jours </w:t>
      </w:r>
      <w:r>
        <w:rPr>
          <w:rFonts w:cs="Arial"/>
          <w:bCs/>
        </w:rPr>
        <w:t xml:space="preserve">à compter de la date de passation de la commande, </w:t>
      </w:r>
      <w:r w:rsidRPr="00D40989">
        <w:rPr>
          <w:rFonts w:cs="Arial"/>
          <w:bCs/>
        </w:rPr>
        <w:t>son</w:t>
      </w:r>
      <w:r>
        <w:rPr>
          <w:rFonts w:cs="Arial"/>
          <w:bCs/>
        </w:rPr>
        <w:t>t</w:t>
      </w:r>
      <w:r w:rsidRPr="00D40989">
        <w:rPr>
          <w:rFonts w:cs="Arial"/>
          <w:bCs/>
        </w:rPr>
        <w:t xml:space="preserve"> ramonés à 5 jours ouvrés.</w:t>
      </w:r>
    </w:p>
    <w:p w14:paraId="7D5A3E7F" w14:textId="77777777" w:rsidR="00AB1AE6" w:rsidRPr="00F66D6E" w:rsidRDefault="00AB1AE6" w:rsidP="00F66D6E"/>
    <w:sectPr w:rsidR="00AB1AE6" w:rsidRPr="00F66D6E" w:rsidSect="00E24F94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eanPiStd-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A01CC"/>
    <w:multiLevelType w:val="multilevel"/>
    <w:tmpl w:val="2D3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78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7B"/>
    <w:rsid w:val="00162F43"/>
    <w:rsid w:val="001A68F8"/>
    <w:rsid w:val="00322866"/>
    <w:rsid w:val="00415BA3"/>
    <w:rsid w:val="00682492"/>
    <w:rsid w:val="006F7890"/>
    <w:rsid w:val="008D3279"/>
    <w:rsid w:val="00902133"/>
    <w:rsid w:val="00AB1AE6"/>
    <w:rsid w:val="00AB5B04"/>
    <w:rsid w:val="00C61046"/>
    <w:rsid w:val="00C91F7B"/>
    <w:rsid w:val="00CB521A"/>
    <w:rsid w:val="00D80B07"/>
    <w:rsid w:val="00E24F94"/>
    <w:rsid w:val="00F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005C"/>
  <w15:chartTrackingRefBased/>
  <w15:docId w15:val="{27C19FCE-617B-43D7-9144-E0AC159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7B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C91F7B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91F7B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1F7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9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C91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2014-05-29T07:16:00Z</dcterms:created>
  <dcterms:modified xsi:type="dcterms:W3CDTF">2025-02-08T13:34:00Z</dcterms:modified>
</cp:coreProperties>
</file>