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81" w:type="dxa"/>
        <w:shd w:val="clear" w:color="auto" w:fill="FFFF00"/>
        <w:tblLook w:val="04A0" w:firstRow="1" w:lastRow="0" w:firstColumn="1" w:lastColumn="0" w:noHBand="0" w:noVBand="1"/>
      </w:tblPr>
      <w:tblGrid>
        <w:gridCol w:w="1491"/>
        <w:gridCol w:w="7435"/>
        <w:gridCol w:w="1055"/>
      </w:tblGrid>
      <w:tr w:rsidR="002A4512" w:rsidRPr="002A4512" w14:paraId="14879994" w14:textId="77777777" w:rsidTr="00910441">
        <w:trPr>
          <w:trHeight w:val="386"/>
        </w:trPr>
        <w:tc>
          <w:tcPr>
            <w:tcW w:w="9981" w:type="dxa"/>
            <w:gridSpan w:val="3"/>
            <w:shd w:val="clear" w:color="auto" w:fill="FFFF00"/>
          </w:tcPr>
          <w:p w14:paraId="47334269" w14:textId="03AF6AE5" w:rsidR="002A4512" w:rsidRPr="002A4512" w:rsidRDefault="002A4512" w:rsidP="002A4512">
            <w:pPr>
              <w:pStyle w:val="Titre2"/>
              <w:spacing w:before="120" w:after="120"/>
              <w:jc w:val="center"/>
              <w:rPr>
                <w:rFonts w:ascii="Arial" w:hAnsi="Arial"/>
                <w:b/>
                <w:bCs/>
                <w:color w:val="auto"/>
                <w:sz w:val="28"/>
                <w:szCs w:val="22"/>
              </w:rPr>
            </w:pPr>
            <w:r w:rsidRPr="002A4512">
              <w:rPr>
                <w:rFonts w:ascii="Arial" w:hAnsi="Arial"/>
                <w:b/>
                <w:bCs/>
                <w:color w:val="auto"/>
                <w:sz w:val="28"/>
                <w:szCs w:val="22"/>
              </w:rPr>
              <w:t xml:space="preserve">Réflexion 3 – Éviter les pièges de la communication </w:t>
            </w:r>
            <w:r w:rsidR="007B5F7E" w:rsidRPr="002A4512">
              <w:rPr>
                <w:rFonts w:ascii="Arial" w:hAnsi="Arial"/>
                <w:b/>
                <w:bCs/>
                <w:color w:val="auto"/>
                <w:sz w:val="28"/>
                <w:szCs w:val="22"/>
              </w:rPr>
              <w:t>institutionnelle</w:t>
            </w:r>
          </w:p>
        </w:tc>
      </w:tr>
      <w:tr w:rsidR="002A4512" w:rsidRPr="00BD36BB" w14:paraId="5BDAEEAA" w14:textId="77777777" w:rsidTr="00910441">
        <w:trPr>
          <w:trHeight w:val="504"/>
        </w:trPr>
        <w:tc>
          <w:tcPr>
            <w:tcW w:w="1491" w:type="dxa"/>
            <w:shd w:val="clear" w:color="auto" w:fill="FFFF00"/>
            <w:vAlign w:val="center"/>
          </w:tcPr>
          <w:p w14:paraId="311B77AB" w14:textId="77777777" w:rsidR="002A4512" w:rsidRPr="00BD36BB" w:rsidRDefault="002A4512" w:rsidP="00910441">
            <w:pPr>
              <w:rPr>
                <w:rFonts w:cs="Arial"/>
              </w:rPr>
            </w:pPr>
            <w:r w:rsidRPr="00D07076">
              <w:rPr>
                <w:rFonts w:cs="Arial"/>
                <w:bCs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7435" w:type="dxa"/>
            <w:shd w:val="clear" w:color="auto" w:fill="FFFF00"/>
            <w:vAlign w:val="center"/>
          </w:tcPr>
          <w:p w14:paraId="05CA97BE" w14:textId="77777777" w:rsidR="002A4512" w:rsidRPr="00BD36BB" w:rsidRDefault="002A4512" w:rsidP="00910441">
            <w:pPr>
              <w:jc w:val="center"/>
              <w:rPr>
                <w:rFonts w:cs="Arial"/>
              </w:rPr>
            </w:pPr>
            <w:r>
              <w:rPr>
                <w:bCs/>
                <w:noProof/>
              </w:rPr>
              <w:drawing>
                <wp:inline distT="0" distB="0" distL="0" distR="0" wp14:anchorId="05FBB3EF" wp14:editId="243294F8">
                  <wp:extent cx="322580" cy="322580"/>
                  <wp:effectExtent l="0" t="0" r="0" b="1270"/>
                  <wp:docPr id="68540787" name="Graphique 6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87742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8D4"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4389A9F6" wp14:editId="134A213B">
                  <wp:extent cx="370840" cy="322580"/>
                  <wp:effectExtent l="0" t="0" r="0" b="1270"/>
                  <wp:docPr id="760843642" name="Graphique 5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83025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74" b="6256"/>
                          <a:stretch/>
                        </pic:blipFill>
                        <pic:spPr bwMode="auto">
                          <a:xfrm>
                            <a:off x="0" y="0"/>
                            <a:ext cx="36893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shd w:val="clear" w:color="auto" w:fill="FFFF00"/>
            <w:vAlign w:val="center"/>
          </w:tcPr>
          <w:p w14:paraId="482C057A" w14:textId="77777777" w:rsidR="002A4512" w:rsidRPr="00A61947" w:rsidRDefault="002A4512" w:rsidP="00910441">
            <w:pPr>
              <w:rPr>
                <w:rFonts w:cs="Arial"/>
                <w:bCs/>
              </w:rPr>
            </w:pPr>
            <w:r w:rsidRPr="00A61947">
              <w:rPr>
                <w:rFonts w:cs="Arial"/>
                <w:bCs/>
              </w:rPr>
              <w:t>Source</w:t>
            </w:r>
          </w:p>
        </w:tc>
      </w:tr>
    </w:tbl>
    <w:p w14:paraId="7902C553" w14:textId="77777777" w:rsidR="002A4512" w:rsidRPr="009875A9" w:rsidRDefault="002A4512" w:rsidP="002A4512">
      <w:pPr>
        <w:spacing w:before="120" w:after="120"/>
        <w:rPr>
          <w:rFonts w:cs="Arial"/>
          <w:b/>
          <w:sz w:val="24"/>
          <w:szCs w:val="28"/>
        </w:rPr>
      </w:pPr>
      <w:r w:rsidRPr="009875A9">
        <w:rPr>
          <w:rFonts w:cs="Arial"/>
          <w:b/>
          <w:sz w:val="24"/>
          <w:szCs w:val="28"/>
        </w:rPr>
        <w:t>Travail à faire</w:t>
      </w:r>
      <w:r w:rsidRPr="009875A9">
        <w:rPr>
          <w:rFonts w:cs="Arial"/>
          <w:b/>
          <w:sz w:val="24"/>
          <w:szCs w:val="28"/>
        </w:rPr>
        <w:tab/>
      </w:r>
    </w:p>
    <w:p w14:paraId="7A58EB9F" w14:textId="77777777" w:rsidR="002A4512" w:rsidRDefault="002A4512" w:rsidP="002A4512">
      <w:pPr>
        <w:tabs>
          <w:tab w:val="left" w:pos="1951"/>
        </w:tabs>
        <w:spacing w:before="120" w:after="120"/>
        <w:ind w:left="113"/>
        <w:jc w:val="left"/>
        <w:rPr>
          <w:bCs/>
        </w:rPr>
      </w:pPr>
      <w:r>
        <w:rPr>
          <w:bCs/>
        </w:rPr>
        <w:t>Après avoir lu le document, répondez aux questions suivantes :</w:t>
      </w:r>
    </w:p>
    <w:p w14:paraId="4054374F" w14:textId="77777777" w:rsidR="002A4512" w:rsidRDefault="002A4512" w:rsidP="002A4512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</w:rPr>
      </w:pPr>
      <w:r>
        <w:rPr>
          <w:bCs/>
        </w:rPr>
        <w:t>En quoi le manque de cohérence peut nuire à l’institution ?</w:t>
      </w:r>
    </w:p>
    <w:p w14:paraId="79DAB7F9" w14:textId="77777777" w:rsidR="002A4512" w:rsidRDefault="002A4512" w:rsidP="002A4512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</w:rPr>
      </w:pPr>
      <w:r>
        <w:rPr>
          <w:bCs/>
        </w:rPr>
        <w:t>Quelle relation y a-t-il entre le manque de cohérence et le manque de transparence ?</w:t>
      </w:r>
    </w:p>
    <w:p w14:paraId="56D0C956" w14:textId="77777777" w:rsidR="002A4512" w:rsidRDefault="002A4512" w:rsidP="002A4512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</w:rPr>
      </w:pPr>
      <w:r>
        <w:rPr>
          <w:bCs/>
        </w:rPr>
        <w:t>Qu’apporte l’écoute de la société ?</w:t>
      </w:r>
    </w:p>
    <w:p w14:paraId="22C8C814" w14:textId="77777777" w:rsidR="002A4512" w:rsidRDefault="002A4512" w:rsidP="002A4512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</w:rPr>
      </w:pPr>
      <w:r>
        <w:rPr>
          <w:bCs/>
        </w:rPr>
        <w:t>Illustrez le cas d’une communication qui manque sa cible.</w:t>
      </w:r>
    </w:p>
    <w:p w14:paraId="0BB066F5" w14:textId="77777777" w:rsidR="002A4512" w:rsidRDefault="002A4512" w:rsidP="002A4512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096A879E" w14:textId="77777777" w:rsidR="002A4512" w:rsidRDefault="002A4512" w:rsidP="002A4512">
      <w:pPr>
        <w:pStyle w:val="Titre2"/>
        <w:shd w:val="clear" w:color="auto" w:fill="FFFFFF"/>
        <w:rPr>
          <w:rFonts w:ascii="Arial" w:hAnsi="Arial"/>
          <w:color w:val="1F1F1F"/>
        </w:rPr>
      </w:pPr>
      <w:r w:rsidRPr="00994375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Doc. </w:t>
      </w:r>
      <w:r w:rsidRPr="00994375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Pr="00994375">
        <w:rPr>
          <w:rFonts w:ascii="Arial" w:hAnsi="Arial" w:cs="Arial"/>
          <w:color w:val="1F1F1F"/>
        </w:rPr>
        <w:t>Les pièges de la communication institutionnelle</w:t>
      </w:r>
    </w:p>
    <w:p w14:paraId="56E17E3B" w14:textId="77777777" w:rsidR="002A4512" w:rsidRPr="00994375" w:rsidRDefault="002A4512" w:rsidP="002A451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F1F1F"/>
          <w:sz w:val="20"/>
          <w:szCs w:val="20"/>
        </w:rPr>
      </w:pPr>
      <w:r w:rsidRPr="00994375">
        <w:rPr>
          <w:rFonts w:ascii="Arial" w:hAnsi="Arial" w:cs="Arial"/>
          <w:color w:val="1F1F1F"/>
          <w:sz w:val="20"/>
          <w:szCs w:val="20"/>
        </w:rPr>
        <w:t xml:space="preserve">Une communication institutionnelle efficace est essentielle pour maintenir une bonne image de </w:t>
      </w:r>
      <w:r>
        <w:rPr>
          <w:rFonts w:ascii="Arial" w:hAnsi="Arial" w:cs="Arial"/>
          <w:color w:val="1F1F1F"/>
          <w:sz w:val="20"/>
          <w:szCs w:val="20"/>
        </w:rPr>
        <w:t>l’entreprise</w:t>
      </w:r>
      <w:r w:rsidRPr="00994375">
        <w:rPr>
          <w:rFonts w:ascii="Arial" w:hAnsi="Arial" w:cs="Arial"/>
          <w:color w:val="1F1F1F"/>
          <w:sz w:val="20"/>
          <w:szCs w:val="20"/>
        </w:rPr>
        <w:t xml:space="preserve"> et pour tisser des liens de confiance avec ses publics. Il est important d'éviter les pièges cités </w:t>
      </w:r>
      <w:r>
        <w:rPr>
          <w:rFonts w:ascii="Arial" w:hAnsi="Arial" w:cs="Arial"/>
          <w:color w:val="1F1F1F"/>
          <w:sz w:val="20"/>
          <w:szCs w:val="20"/>
        </w:rPr>
        <w:t>suivants</w:t>
      </w:r>
      <w:r w:rsidRPr="00994375">
        <w:rPr>
          <w:rFonts w:ascii="Arial" w:hAnsi="Arial" w:cs="Arial"/>
          <w:color w:val="1F1F1F"/>
          <w:sz w:val="20"/>
          <w:szCs w:val="20"/>
        </w:rPr>
        <w:t xml:space="preserve"> en adoptant une communication claire, précise, adaptée, cohérente, transparente et authentique.</w:t>
      </w:r>
    </w:p>
    <w:p w14:paraId="23B4825D" w14:textId="77777777" w:rsidR="002A4512" w:rsidRPr="00994375" w:rsidRDefault="002A4512" w:rsidP="002A4512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1F1F1F"/>
          <w:sz w:val="22"/>
          <w:szCs w:val="22"/>
        </w:rPr>
      </w:pP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1. Manque de clarté et de précision</w:t>
      </w:r>
      <w:r>
        <w:rPr>
          <w:rStyle w:val="lev"/>
          <w:rFonts w:ascii="Arial" w:hAnsi="Arial" w:cs="Arial"/>
          <w:color w:val="1F1F1F"/>
          <w:sz w:val="22"/>
          <w:szCs w:val="22"/>
        </w:rPr>
        <w:t xml:space="preserve"> </w:t>
      </w: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:</w:t>
      </w:r>
    </w:p>
    <w:p w14:paraId="5EF9F6F6" w14:textId="77777777" w:rsidR="002A4512" w:rsidRDefault="002A4512" w:rsidP="002A4512">
      <w:pPr>
        <w:numPr>
          <w:ilvl w:val="0"/>
          <w:numId w:val="2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Jargon excessif :</w:t>
      </w:r>
      <w:r>
        <w:rPr>
          <w:rFonts w:cs="Arial"/>
          <w:color w:val="1F1F1F"/>
        </w:rPr>
        <w:t> Utiliser un langage trop technique ou spécialisé peut exclure une grande partie de l'audience.</w:t>
      </w:r>
    </w:p>
    <w:p w14:paraId="368418A7" w14:textId="77777777" w:rsidR="002A4512" w:rsidRDefault="002A4512" w:rsidP="002A4512">
      <w:pPr>
        <w:numPr>
          <w:ilvl w:val="0"/>
          <w:numId w:val="2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Manque de structure :</w:t>
      </w:r>
      <w:r>
        <w:rPr>
          <w:rFonts w:cs="Arial"/>
          <w:color w:val="1F1F1F"/>
        </w:rPr>
        <w:t> Un message mal organisé et confus peut perdre l'attention des lecteurs.</w:t>
      </w:r>
    </w:p>
    <w:p w14:paraId="04B29DFB" w14:textId="77777777" w:rsidR="002A4512" w:rsidRDefault="002A4512" w:rsidP="002A4512">
      <w:pPr>
        <w:numPr>
          <w:ilvl w:val="0"/>
          <w:numId w:val="2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Imprécisions :</w:t>
      </w:r>
      <w:r>
        <w:rPr>
          <w:rFonts w:cs="Arial"/>
          <w:color w:val="1F1F1F"/>
        </w:rPr>
        <w:t> Des informations vagues ou inexactes peuvent nuire à la crédibilité de l'institution.</w:t>
      </w:r>
    </w:p>
    <w:p w14:paraId="53635B75" w14:textId="77777777" w:rsidR="002A4512" w:rsidRPr="00994375" w:rsidRDefault="002A4512" w:rsidP="002A4512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1F1F1F"/>
          <w:sz w:val="22"/>
          <w:szCs w:val="22"/>
        </w:rPr>
      </w:pP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2. Manque d'adaptation à la cible</w:t>
      </w:r>
      <w:r>
        <w:rPr>
          <w:rStyle w:val="lev"/>
          <w:rFonts w:ascii="Arial" w:hAnsi="Arial" w:cs="Arial"/>
          <w:color w:val="1F1F1F"/>
          <w:sz w:val="22"/>
          <w:szCs w:val="22"/>
        </w:rPr>
        <w:t xml:space="preserve"> </w:t>
      </w: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:</w:t>
      </w:r>
    </w:p>
    <w:p w14:paraId="25B876F7" w14:textId="77777777" w:rsidR="002A4512" w:rsidRDefault="002A4512" w:rsidP="002A4512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Ignorer les besoins et les attentes du public :</w:t>
      </w:r>
      <w:r>
        <w:rPr>
          <w:rFonts w:cs="Arial"/>
          <w:color w:val="1F1F1F"/>
        </w:rPr>
        <w:t> Le message peut ne pas être pertinent ou intéressant pour les destinataires.</w:t>
      </w:r>
    </w:p>
    <w:p w14:paraId="30B8A4F1" w14:textId="77777777" w:rsidR="002A4512" w:rsidRDefault="002A4512" w:rsidP="002A4512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Utiliser un ton inapproprié :</w:t>
      </w:r>
      <w:r>
        <w:rPr>
          <w:rFonts w:cs="Arial"/>
          <w:color w:val="1F1F1F"/>
        </w:rPr>
        <w:t> Le ton peut être trop formel, trop informel, ou inapproprié pour le contexte.</w:t>
      </w:r>
    </w:p>
    <w:p w14:paraId="369C88C5" w14:textId="77777777" w:rsidR="002A4512" w:rsidRDefault="002A4512" w:rsidP="002A4512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Ne pas tenir compte des différents canaux de communication :</w:t>
      </w:r>
      <w:r>
        <w:rPr>
          <w:rFonts w:cs="Arial"/>
          <w:color w:val="1F1F1F"/>
        </w:rPr>
        <w:t xml:space="preserve"> Les messages ne sont pas adaptés aux différents supports utilisés (réseaux sociaux, site web, </w:t>
      </w:r>
      <w:proofErr w:type="gramStart"/>
      <w:r>
        <w:rPr>
          <w:rFonts w:cs="Arial"/>
          <w:color w:val="1F1F1F"/>
        </w:rPr>
        <w:t>email</w:t>
      </w:r>
      <w:proofErr w:type="gramEnd"/>
      <w:r>
        <w:rPr>
          <w:rFonts w:cs="Arial"/>
          <w:color w:val="1F1F1F"/>
        </w:rPr>
        <w:t>, etc.).</w:t>
      </w:r>
    </w:p>
    <w:p w14:paraId="2E37B187" w14:textId="77777777" w:rsidR="002A4512" w:rsidRPr="00994375" w:rsidRDefault="002A4512" w:rsidP="002A4512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1F1F1F"/>
          <w:sz w:val="22"/>
          <w:szCs w:val="22"/>
        </w:rPr>
      </w:pP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3. Manque de cohérence et d'homogénéité</w:t>
      </w:r>
      <w:r>
        <w:rPr>
          <w:rStyle w:val="lev"/>
          <w:rFonts w:ascii="Arial" w:hAnsi="Arial" w:cs="Arial"/>
          <w:color w:val="1F1F1F"/>
          <w:sz w:val="22"/>
          <w:szCs w:val="22"/>
        </w:rPr>
        <w:t xml:space="preserve"> </w:t>
      </w: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:</w:t>
      </w:r>
    </w:p>
    <w:p w14:paraId="29A25838" w14:textId="77777777" w:rsidR="002A4512" w:rsidRDefault="002A4512" w:rsidP="002A4512">
      <w:pPr>
        <w:numPr>
          <w:ilvl w:val="0"/>
          <w:numId w:val="4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Messages contradictoires :</w:t>
      </w:r>
      <w:r>
        <w:rPr>
          <w:rFonts w:cs="Arial"/>
          <w:color w:val="1F1F1F"/>
        </w:rPr>
        <w:t> Des messages différents sur le même sujet peuvent créer de la confusion et de la méfiance.</w:t>
      </w:r>
    </w:p>
    <w:p w14:paraId="541F1D75" w14:textId="77777777" w:rsidR="002A4512" w:rsidRDefault="002A4512" w:rsidP="002A4512">
      <w:pPr>
        <w:numPr>
          <w:ilvl w:val="0"/>
          <w:numId w:val="4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Manque d'alignement avec les valeurs de l'institution :</w:t>
      </w:r>
      <w:r>
        <w:rPr>
          <w:rFonts w:cs="Arial"/>
          <w:color w:val="1F1F1F"/>
        </w:rPr>
        <w:t> Le message ne reflète pas l'identité et les valeurs de l'institution.</w:t>
      </w:r>
    </w:p>
    <w:p w14:paraId="48B9E56C" w14:textId="77777777" w:rsidR="002A4512" w:rsidRDefault="002A4512" w:rsidP="002A4512">
      <w:pPr>
        <w:numPr>
          <w:ilvl w:val="0"/>
          <w:numId w:val="4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Charte graphique non respectée :</w:t>
      </w:r>
      <w:r>
        <w:rPr>
          <w:rFonts w:cs="Arial"/>
          <w:color w:val="1F1F1F"/>
        </w:rPr>
        <w:t> Le manque d'homogénéité visuelle peut nuire à l'image de l'institution.</w:t>
      </w:r>
    </w:p>
    <w:p w14:paraId="1EA34ADC" w14:textId="77777777" w:rsidR="002A4512" w:rsidRPr="00994375" w:rsidRDefault="002A4512" w:rsidP="002A4512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1F1F1F"/>
          <w:sz w:val="22"/>
          <w:szCs w:val="22"/>
        </w:rPr>
      </w:pP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4. Manque de transparence et d'authenticité</w:t>
      </w:r>
      <w:r>
        <w:rPr>
          <w:rStyle w:val="lev"/>
          <w:rFonts w:ascii="Arial" w:hAnsi="Arial" w:cs="Arial"/>
          <w:color w:val="1F1F1F"/>
          <w:sz w:val="22"/>
          <w:szCs w:val="22"/>
        </w:rPr>
        <w:t xml:space="preserve"> </w:t>
      </w: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:</w:t>
      </w:r>
    </w:p>
    <w:p w14:paraId="797B9F9A" w14:textId="77777777" w:rsidR="002A4512" w:rsidRDefault="002A4512" w:rsidP="002A4512">
      <w:pPr>
        <w:numPr>
          <w:ilvl w:val="0"/>
          <w:numId w:val="5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Cacher des informations importantes :</w:t>
      </w:r>
      <w:r>
        <w:rPr>
          <w:rFonts w:cs="Arial"/>
          <w:color w:val="1F1F1F"/>
        </w:rPr>
        <w:t> Le public peut se sentir manipulé et perdre confiance en l'institution.</w:t>
      </w:r>
    </w:p>
    <w:p w14:paraId="16A6D44E" w14:textId="77777777" w:rsidR="002A4512" w:rsidRDefault="002A4512" w:rsidP="002A4512">
      <w:pPr>
        <w:numPr>
          <w:ilvl w:val="0"/>
          <w:numId w:val="5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Utiliser un langage trop marketing :</w:t>
      </w:r>
      <w:r>
        <w:rPr>
          <w:rFonts w:cs="Arial"/>
          <w:color w:val="1F1F1F"/>
        </w:rPr>
        <w:t> Le message peut être perçu comme artificiel et non sincère.</w:t>
      </w:r>
    </w:p>
    <w:p w14:paraId="192B6378" w14:textId="77777777" w:rsidR="002A4512" w:rsidRDefault="002A4512" w:rsidP="002A4512">
      <w:pPr>
        <w:numPr>
          <w:ilvl w:val="0"/>
          <w:numId w:val="5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 xml:space="preserve">Ne pas répondre aux </w:t>
      </w:r>
      <w:proofErr w:type="gramStart"/>
      <w:r>
        <w:rPr>
          <w:rStyle w:val="lev"/>
          <w:rFonts w:cs="Arial"/>
          <w:color w:val="1F1F1F"/>
        </w:rPr>
        <w:t>critiques:</w:t>
      </w:r>
      <w:proofErr w:type="gramEnd"/>
      <w:r>
        <w:rPr>
          <w:rFonts w:cs="Arial"/>
          <w:color w:val="1F1F1F"/>
        </w:rPr>
        <w:t> Ignorer les commentaires négatifs peut aggraver la situation.</w:t>
      </w:r>
    </w:p>
    <w:p w14:paraId="3093AFBD" w14:textId="77777777" w:rsidR="002A4512" w:rsidRPr="00994375" w:rsidRDefault="002A4512" w:rsidP="002A4512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1F1F1F"/>
          <w:sz w:val="22"/>
          <w:szCs w:val="22"/>
        </w:rPr>
      </w:pP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5. Manque d'écoute et de dialogue</w:t>
      </w:r>
      <w:r>
        <w:rPr>
          <w:rStyle w:val="lev"/>
          <w:rFonts w:ascii="Arial" w:hAnsi="Arial" w:cs="Arial"/>
          <w:color w:val="1F1F1F"/>
          <w:sz w:val="22"/>
          <w:szCs w:val="22"/>
        </w:rPr>
        <w:t xml:space="preserve"> </w:t>
      </w:r>
      <w:r w:rsidRPr="00994375">
        <w:rPr>
          <w:rStyle w:val="lev"/>
          <w:rFonts w:ascii="Arial" w:eastAsiaTheme="majorEastAsia" w:hAnsi="Arial" w:cs="Arial"/>
          <w:color w:val="1F1F1F"/>
          <w:sz w:val="22"/>
          <w:szCs w:val="22"/>
        </w:rPr>
        <w:t>:</w:t>
      </w:r>
    </w:p>
    <w:p w14:paraId="2CC9A188" w14:textId="77777777" w:rsidR="002A4512" w:rsidRDefault="002A4512" w:rsidP="002A4512">
      <w:pPr>
        <w:numPr>
          <w:ilvl w:val="0"/>
          <w:numId w:val="6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Ne pas prendre en compte les réactions du public :</w:t>
      </w:r>
      <w:r>
        <w:rPr>
          <w:rFonts w:cs="Arial"/>
          <w:color w:val="1F1F1F"/>
        </w:rPr>
        <w:t> L'institution ne s'adapte pas aux besoins et aux attentes de ses audiences.</w:t>
      </w:r>
    </w:p>
    <w:p w14:paraId="4E4696E7" w14:textId="77777777" w:rsidR="002A4512" w:rsidRDefault="002A4512" w:rsidP="002A4512">
      <w:pPr>
        <w:numPr>
          <w:ilvl w:val="0"/>
          <w:numId w:val="6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Communication à sens unique :</w:t>
      </w:r>
      <w:r>
        <w:rPr>
          <w:rFonts w:cs="Arial"/>
          <w:color w:val="1F1F1F"/>
        </w:rPr>
        <w:t> L'institution ne dialogue pas avec ses publics.</w:t>
      </w:r>
    </w:p>
    <w:p w14:paraId="0517F41D" w14:textId="77777777" w:rsidR="002A4512" w:rsidRDefault="002A4512" w:rsidP="002A4512">
      <w:pPr>
        <w:numPr>
          <w:ilvl w:val="0"/>
          <w:numId w:val="6"/>
        </w:numPr>
        <w:shd w:val="clear" w:color="auto" w:fill="FFFFFF"/>
        <w:jc w:val="left"/>
        <w:rPr>
          <w:rFonts w:cs="Arial"/>
          <w:color w:val="1F1F1F"/>
        </w:rPr>
      </w:pPr>
      <w:r>
        <w:rPr>
          <w:rStyle w:val="lev"/>
          <w:rFonts w:cs="Arial"/>
          <w:color w:val="1F1F1F"/>
        </w:rPr>
        <w:t>Ne pas gérer les situations de crise :</w:t>
      </w:r>
      <w:r>
        <w:rPr>
          <w:rFonts w:cs="Arial"/>
          <w:color w:val="1F1F1F"/>
        </w:rPr>
        <w:t> L'institution ne réagit pas de manière appropriée aux situations critiques.</w:t>
      </w:r>
    </w:p>
    <w:p w14:paraId="02FCA7FF" w14:textId="77777777" w:rsidR="002A4512" w:rsidRDefault="002A4512" w:rsidP="002A4512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0E4DBD77" w14:textId="22593691" w:rsidR="002A4512" w:rsidRPr="009875A9" w:rsidRDefault="002A4512" w:rsidP="002A4512">
      <w:pPr>
        <w:spacing w:before="120" w:after="120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Réponses</w:t>
      </w:r>
      <w:r w:rsidRPr="009875A9">
        <w:rPr>
          <w:rFonts w:cs="Arial"/>
          <w:b/>
          <w:sz w:val="24"/>
          <w:szCs w:val="28"/>
        </w:rPr>
        <w:tab/>
      </w:r>
    </w:p>
    <w:p w14:paraId="2029FC9E" w14:textId="77777777" w:rsidR="002A4512" w:rsidRDefault="002A4512" w:rsidP="002A4512">
      <w:pPr>
        <w:pStyle w:val="Paragraphedeliste"/>
        <w:numPr>
          <w:ilvl w:val="0"/>
          <w:numId w:val="7"/>
        </w:numPr>
        <w:tabs>
          <w:tab w:val="left" w:pos="1951"/>
        </w:tabs>
        <w:spacing w:before="120" w:after="120"/>
        <w:jc w:val="left"/>
        <w:rPr>
          <w:bCs/>
        </w:rPr>
      </w:pPr>
      <w:r w:rsidRPr="002A4512">
        <w:rPr>
          <w:bCs/>
        </w:rPr>
        <w:t>En quoi le manque de cohérence peut nuire à l’institution ?</w:t>
      </w:r>
    </w:p>
    <w:p w14:paraId="5FE1C3CE" w14:textId="77777777" w:rsid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5CA226CB" w14:textId="77777777" w:rsid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32576914" w14:textId="77777777" w:rsidR="002A4512" w:rsidRP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05CCFF76" w14:textId="77777777" w:rsidR="002A4512" w:rsidRDefault="002A4512" w:rsidP="002A4512">
      <w:pPr>
        <w:pStyle w:val="Paragraphedeliste"/>
        <w:numPr>
          <w:ilvl w:val="0"/>
          <w:numId w:val="7"/>
        </w:numPr>
        <w:tabs>
          <w:tab w:val="left" w:pos="1951"/>
        </w:tabs>
        <w:spacing w:before="120" w:after="120"/>
        <w:jc w:val="left"/>
        <w:rPr>
          <w:bCs/>
        </w:rPr>
      </w:pPr>
      <w:r w:rsidRPr="002A4512">
        <w:rPr>
          <w:bCs/>
        </w:rPr>
        <w:t>Quelle relation y a-t-il entre le manque de cohérence et le manque de transparence ?</w:t>
      </w:r>
    </w:p>
    <w:p w14:paraId="0E7D3A49" w14:textId="77777777" w:rsid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1838B4C3" w14:textId="77777777" w:rsidR="002A4512" w:rsidRP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2470FEFA" w14:textId="77777777" w:rsidR="002A4512" w:rsidRDefault="002A4512" w:rsidP="002A4512">
      <w:pPr>
        <w:pStyle w:val="Paragraphedeliste"/>
        <w:numPr>
          <w:ilvl w:val="0"/>
          <w:numId w:val="7"/>
        </w:numPr>
        <w:tabs>
          <w:tab w:val="left" w:pos="1951"/>
        </w:tabs>
        <w:spacing w:before="120" w:after="120"/>
        <w:jc w:val="left"/>
        <w:rPr>
          <w:bCs/>
        </w:rPr>
      </w:pPr>
      <w:r w:rsidRPr="002A4512">
        <w:rPr>
          <w:bCs/>
        </w:rPr>
        <w:t>Qu’apporte l’écoute de la société ?</w:t>
      </w:r>
    </w:p>
    <w:p w14:paraId="658AB2D2" w14:textId="77777777" w:rsid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2AD02595" w14:textId="77777777" w:rsidR="002A4512" w:rsidRPr="002A4512" w:rsidRDefault="002A4512" w:rsidP="002A4512">
      <w:pPr>
        <w:tabs>
          <w:tab w:val="left" w:pos="1951"/>
        </w:tabs>
        <w:spacing w:before="120" w:after="120"/>
        <w:jc w:val="left"/>
        <w:rPr>
          <w:bCs/>
        </w:rPr>
      </w:pPr>
    </w:p>
    <w:p w14:paraId="1DF27DA3" w14:textId="77777777" w:rsidR="002A4512" w:rsidRPr="002A4512" w:rsidRDefault="002A4512" w:rsidP="002A4512">
      <w:pPr>
        <w:pStyle w:val="Paragraphedeliste"/>
        <w:numPr>
          <w:ilvl w:val="0"/>
          <w:numId w:val="7"/>
        </w:numPr>
        <w:tabs>
          <w:tab w:val="left" w:pos="1951"/>
        </w:tabs>
        <w:spacing w:before="120" w:after="120"/>
        <w:jc w:val="left"/>
        <w:rPr>
          <w:bCs/>
        </w:rPr>
      </w:pPr>
      <w:r w:rsidRPr="002A4512">
        <w:rPr>
          <w:bCs/>
        </w:rPr>
        <w:t>Illustrez le cas d’une communication qui manque sa cible.</w:t>
      </w:r>
    </w:p>
    <w:p w14:paraId="48773790" w14:textId="77777777" w:rsidR="0011531A" w:rsidRPr="002A4512" w:rsidRDefault="0011531A" w:rsidP="002A4512"/>
    <w:sectPr w:rsidR="0011531A" w:rsidRPr="002A4512" w:rsidSect="0062290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9A0"/>
    <w:multiLevelType w:val="multilevel"/>
    <w:tmpl w:val="BF3E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5412"/>
    <w:multiLevelType w:val="hybridMultilevel"/>
    <w:tmpl w:val="EF40EFFA"/>
    <w:lvl w:ilvl="0" w:tplc="0512E0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1FE614A"/>
    <w:multiLevelType w:val="multilevel"/>
    <w:tmpl w:val="603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64126"/>
    <w:multiLevelType w:val="multilevel"/>
    <w:tmpl w:val="170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42B4C"/>
    <w:multiLevelType w:val="multilevel"/>
    <w:tmpl w:val="7B8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77901"/>
    <w:multiLevelType w:val="multilevel"/>
    <w:tmpl w:val="B694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80B4C"/>
    <w:multiLevelType w:val="hybridMultilevel"/>
    <w:tmpl w:val="397460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204043">
    <w:abstractNumId w:val="1"/>
  </w:num>
  <w:num w:numId="2" w16cid:durableId="423378506">
    <w:abstractNumId w:val="3"/>
  </w:num>
  <w:num w:numId="3" w16cid:durableId="1842045484">
    <w:abstractNumId w:val="4"/>
  </w:num>
  <w:num w:numId="4" w16cid:durableId="1605185702">
    <w:abstractNumId w:val="5"/>
  </w:num>
  <w:num w:numId="5" w16cid:durableId="7104936">
    <w:abstractNumId w:val="0"/>
  </w:num>
  <w:num w:numId="6" w16cid:durableId="831525845">
    <w:abstractNumId w:val="2"/>
  </w:num>
  <w:num w:numId="7" w16cid:durableId="1228033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02"/>
    <w:rsid w:val="000F7292"/>
    <w:rsid w:val="0011531A"/>
    <w:rsid w:val="00227A11"/>
    <w:rsid w:val="002A4512"/>
    <w:rsid w:val="003F7E1C"/>
    <w:rsid w:val="00475111"/>
    <w:rsid w:val="00552B02"/>
    <w:rsid w:val="005C55D8"/>
    <w:rsid w:val="00622904"/>
    <w:rsid w:val="00712543"/>
    <w:rsid w:val="0078489F"/>
    <w:rsid w:val="007B5F7E"/>
    <w:rsid w:val="00BB291B"/>
    <w:rsid w:val="00C03E0C"/>
    <w:rsid w:val="00CC3D3C"/>
    <w:rsid w:val="00E12E11"/>
    <w:rsid w:val="00EC56E4"/>
    <w:rsid w:val="00FB6A4B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3FA5"/>
  <w15:chartTrackingRefBased/>
  <w15:docId w15:val="{CBB7A88D-C7E9-4452-BD3E-892A47C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02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52B02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52B02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552B02"/>
    <w:rPr>
      <w:color w:val="0000FF"/>
      <w:u w:val="single"/>
    </w:rPr>
  </w:style>
  <w:style w:type="table" w:styleId="Grilledutableau">
    <w:name w:val="Table Grid"/>
    <w:basedOn w:val="TableauNormal"/>
    <w:rsid w:val="00552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E12E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2A4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451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A4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2014-10-10T08:15:00Z</dcterms:created>
  <dcterms:modified xsi:type="dcterms:W3CDTF">2024-03-19T15:16:00Z</dcterms:modified>
</cp:coreProperties>
</file>