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E2318E" w:rsidRPr="002B324C" w14:paraId="722D49B7" w14:textId="77777777" w:rsidTr="00285628">
        <w:trPr>
          <w:trHeight w:val="386"/>
        </w:trPr>
        <w:tc>
          <w:tcPr>
            <w:tcW w:w="9918" w:type="dxa"/>
            <w:gridSpan w:val="3"/>
            <w:shd w:val="clear" w:color="auto" w:fill="FFFF00"/>
          </w:tcPr>
          <w:p w14:paraId="167DC64E" w14:textId="77777777" w:rsidR="00E2318E" w:rsidRPr="002B324C" w:rsidRDefault="00E2318E" w:rsidP="00E2318E">
            <w:pPr>
              <w:pStyle w:val="Titre3"/>
              <w:numPr>
                <w:ilvl w:val="0"/>
                <w:numId w:val="0"/>
              </w:numPr>
              <w:jc w:val="center"/>
              <w:rPr>
                <w:sz w:val="28"/>
                <w:szCs w:val="32"/>
              </w:rPr>
            </w:pPr>
            <w:bookmarkStart w:id="0" w:name="_Hlk83022318"/>
            <w:r w:rsidRPr="002B324C">
              <w:rPr>
                <w:sz w:val="28"/>
                <w:szCs w:val="32"/>
              </w:rPr>
              <w:t>Réflexion 3 - Se protéger des idées reçues</w:t>
            </w:r>
          </w:p>
        </w:tc>
      </w:tr>
      <w:tr w:rsidR="00E2318E" w:rsidRPr="00E2318E" w14:paraId="45F0C171" w14:textId="77777777" w:rsidTr="00285628">
        <w:trPr>
          <w:trHeight w:val="267"/>
        </w:trPr>
        <w:tc>
          <w:tcPr>
            <w:tcW w:w="1413" w:type="dxa"/>
            <w:shd w:val="clear" w:color="auto" w:fill="FFFF00"/>
            <w:vAlign w:val="center"/>
          </w:tcPr>
          <w:p w14:paraId="4E71F833" w14:textId="77777777" w:rsidR="00E2318E" w:rsidRPr="00E2318E" w:rsidRDefault="00E2318E" w:rsidP="00285628">
            <w:pPr>
              <w:jc w:val="center"/>
              <w:rPr>
                <w:i/>
                <w:sz w:val="20"/>
                <w:szCs w:val="20"/>
              </w:rPr>
            </w:pPr>
            <w:r w:rsidRPr="00E2318E">
              <w:rPr>
                <w:b/>
                <w:sz w:val="20"/>
                <w:szCs w:val="20"/>
              </w:rPr>
              <w:t>Durée</w:t>
            </w:r>
            <w:r w:rsidRPr="00E2318E">
              <w:rPr>
                <w:sz w:val="20"/>
                <w:szCs w:val="20"/>
              </w:rPr>
              <w:t xml:space="preserve"> : 20’</w:t>
            </w:r>
          </w:p>
        </w:tc>
        <w:tc>
          <w:tcPr>
            <w:tcW w:w="7229" w:type="dxa"/>
            <w:shd w:val="clear" w:color="auto" w:fill="FFFF00"/>
            <w:vAlign w:val="center"/>
          </w:tcPr>
          <w:p w14:paraId="054BAD26" w14:textId="251E6ACA" w:rsidR="00E2318E" w:rsidRPr="00E2318E" w:rsidRDefault="001A0D1A" w:rsidP="00285628">
            <w:pPr>
              <w:jc w:val="center"/>
              <w:rPr>
                <w:i/>
                <w:sz w:val="20"/>
                <w:szCs w:val="20"/>
              </w:rPr>
            </w:pPr>
            <w:r>
              <w:rPr>
                <w:i/>
                <w:noProof/>
              </w:rPr>
              <w:drawing>
                <wp:inline distT="0" distB="0" distL="0" distR="0" wp14:anchorId="6742AE87" wp14:editId="52D73523">
                  <wp:extent cx="325755" cy="325755"/>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i/>
              </w:rPr>
              <w:t xml:space="preserve">ou </w:t>
            </w:r>
            <w:r>
              <w:rPr>
                <w:i/>
                <w:noProof/>
              </w:rPr>
              <w:drawing>
                <wp:inline distT="0" distB="0" distL="0" distR="0" wp14:anchorId="042E59DF" wp14:editId="70C701B7">
                  <wp:extent cx="365760" cy="36576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433E3E81" w14:textId="77777777" w:rsidR="00E2318E" w:rsidRPr="00E2318E" w:rsidRDefault="00E2318E" w:rsidP="00285628">
            <w:pPr>
              <w:jc w:val="center"/>
              <w:rPr>
                <w:b/>
                <w:bCs/>
                <w:iCs/>
                <w:sz w:val="20"/>
                <w:szCs w:val="20"/>
              </w:rPr>
            </w:pPr>
            <w:r w:rsidRPr="00E2318E">
              <w:rPr>
                <w:b/>
                <w:bCs/>
                <w:iCs/>
                <w:sz w:val="20"/>
                <w:szCs w:val="20"/>
              </w:rPr>
              <w:t>Source</w:t>
            </w:r>
          </w:p>
        </w:tc>
      </w:tr>
    </w:tbl>
    <w:p w14:paraId="4039D914" w14:textId="77777777" w:rsidR="00E2318E" w:rsidRDefault="00E2318E" w:rsidP="00E2318E">
      <w:pPr>
        <w:rPr>
          <w:rStyle w:val="Lienhypertexte"/>
        </w:rPr>
      </w:pPr>
    </w:p>
    <w:p w14:paraId="0649A39E" w14:textId="77777777" w:rsidR="00E2318E" w:rsidRPr="002B324C" w:rsidRDefault="00E2318E" w:rsidP="00E2318E">
      <w:pPr>
        <w:rPr>
          <w:rFonts w:cs="Arial"/>
          <w:b/>
          <w:sz w:val="24"/>
          <w:szCs w:val="32"/>
        </w:rPr>
      </w:pPr>
      <w:r w:rsidRPr="002B324C">
        <w:rPr>
          <w:rFonts w:cs="Arial"/>
          <w:b/>
          <w:sz w:val="24"/>
          <w:szCs w:val="32"/>
        </w:rPr>
        <w:t>Travail à faire</w:t>
      </w:r>
    </w:p>
    <w:p w14:paraId="5216A596" w14:textId="3B46D18C" w:rsidR="00E2318E" w:rsidRPr="00E2318E" w:rsidRDefault="00E2318E" w:rsidP="00E2318E">
      <w:pPr>
        <w:rPr>
          <w:rFonts w:cs="Arial"/>
          <w:bCs/>
          <w:sz w:val="20"/>
          <w:szCs w:val="20"/>
        </w:rPr>
      </w:pPr>
      <w:r w:rsidRPr="00E2318E">
        <w:rPr>
          <w:rFonts w:cs="Arial"/>
          <w:bCs/>
          <w:sz w:val="20"/>
          <w:szCs w:val="20"/>
        </w:rPr>
        <w:t xml:space="preserve">Après avoir lu le </w:t>
      </w:r>
      <w:r w:rsidRPr="00E2318E">
        <w:rPr>
          <w:rFonts w:cs="Arial"/>
          <w:b/>
          <w:sz w:val="20"/>
          <w:szCs w:val="20"/>
        </w:rPr>
        <w:t>document</w:t>
      </w:r>
      <w:r w:rsidRPr="00E2318E">
        <w:rPr>
          <w:rFonts w:cs="Arial"/>
          <w:bCs/>
          <w:sz w:val="20"/>
          <w:szCs w:val="20"/>
        </w:rPr>
        <w:t>, répondez aux questions suivantes :</w:t>
      </w:r>
    </w:p>
    <w:p w14:paraId="49DB4661" w14:textId="77777777" w:rsidR="00E2318E" w:rsidRPr="00E2318E" w:rsidRDefault="00E2318E" w:rsidP="00E2318E">
      <w:pPr>
        <w:pStyle w:val="Paragraphedeliste"/>
        <w:numPr>
          <w:ilvl w:val="0"/>
          <w:numId w:val="5"/>
        </w:numPr>
        <w:rPr>
          <w:rFonts w:cs="Arial"/>
          <w:bCs/>
          <w:sz w:val="20"/>
          <w:szCs w:val="20"/>
        </w:rPr>
      </w:pPr>
      <w:r w:rsidRPr="00E2318E">
        <w:rPr>
          <w:rFonts w:cs="Arial"/>
          <w:bCs/>
          <w:sz w:val="20"/>
          <w:szCs w:val="20"/>
        </w:rPr>
        <w:t>Quelles sont les entreprises qui ont un registre des accidents bénins ?</w:t>
      </w:r>
    </w:p>
    <w:p w14:paraId="7C27DDBD" w14:textId="77777777" w:rsidR="00E2318E" w:rsidRPr="00E2318E" w:rsidRDefault="00E2318E" w:rsidP="00E2318E">
      <w:pPr>
        <w:pStyle w:val="Paragraphedeliste"/>
        <w:numPr>
          <w:ilvl w:val="0"/>
          <w:numId w:val="5"/>
        </w:numPr>
        <w:rPr>
          <w:rFonts w:cs="Arial"/>
          <w:bCs/>
          <w:sz w:val="20"/>
          <w:szCs w:val="20"/>
        </w:rPr>
      </w:pPr>
      <w:r w:rsidRPr="00E2318E">
        <w:rPr>
          <w:rFonts w:cs="Arial"/>
          <w:bCs/>
          <w:sz w:val="20"/>
          <w:szCs w:val="20"/>
        </w:rPr>
        <w:t>Pourquoi la coupure à un doigt ne fait pas l’objet d’une déclaration d’accident du travail si l’entreprise à un registre des accidents bénins ?</w:t>
      </w:r>
    </w:p>
    <w:p w14:paraId="20728815" w14:textId="77777777" w:rsidR="00E2318E" w:rsidRPr="00E2318E" w:rsidRDefault="00E2318E" w:rsidP="00E2318E">
      <w:pPr>
        <w:pStyle w:val="Paragraphedeliste"/>
        <w:numPr>
          <w:ilvl w:val="0"/>
          <w:numId w:val="5"/>
        </w:numPr>
        <w:rPr>
          <w:rFonts w:cs="Arial"/>
          <w:bCs/>
          <w:sz w:val="20"/>
          <w:szCs w:val="20"/>
        </w:rPr>
      </w:pPr>
      <w:r w:rsidRPr="00E2318E">
        <w:rPr>
          <w:rFonts w:cs="Arial"/>
          <w:bCs/>
          <w:sz w:val="20"/>
          <w:szCs w:val="20"/>
        </w:rPr>
        <w:t>Quels sont les risques encourus par l’entreprise qui « oublie » de déclarer un accident du travail ?</w:t>
      </w:r>
    </w:p>
    <w:p w14:paraId="64DB612C" w14:textId="6CFE6553" w:rsidR="00E2318E" w:rsidRPr="00E2318E" w:rsidRDefault="00E2318E" w:rsidP="00E2318E">
      <w:pPr>
        <w:pStyle w:val="Paragraphedeliste"/>
        <w:numPr>
          <w:ilvl w:val="0"/>
          <w:numId w:val="5"/>
        </w:numPr>
        <w:rPr>
          <w:rFonts w:cs="Arial"/>
          <w:bCs/>
          <w:sz w:val="20"/>
          <w:szCs w:val="20"/>
        </w:rPr>
      </w:pPr>
      <w:r w:rsidRPr="00E2318E">
        <w:rPr>
          <w:rFonts w:cs="Arial"/>
          <w:bCs/>
          <w:sz w:val="20"/>
          <w:szCs w:val="20"/>
        </w:rPr>
        <w:t>La faute du salarié exonère t’elle l’employeur de sa responsabilité ? Pourquoi ?</w:t>
      </w:r>
    </w:p>
    <w:p w14:paraId="4F2BC321" w14:textId="77777777" w:rsidR="00E2318E" w:rsidRPr="002B324C" w:rsidRDefault="00E2318E" w:rsidP="00E2318E">
      <w:pPr>
        <w:pStyle w:val="Paragraphedeliste"/>
        <w:ind w:left="360"/>
        <w:rPr>
          <w:rFonts w:cs="Arial"/>
          <w:bCs/>
        </w:rPr>
      </w:pPr>
    </w:p>
    <w:p w14:paraId="5CE9A347" w14:textId="77777777" w:rsidR="00E2318E" w:rsidRPr="00E23D9A" w:rsidRDefault="00E2318E" w:rsidP="00E2318E">
      <w:pPr>
        <w:rPr>
          <w:rFonts w:cs="Arial"/>
          <w:b/>
        </w:rPr>
      </w:pPr>
    </w:p>
    <w:p w14:paraId="0A29AFEA" w14:textId="3EA57821" w:rsidR="00E2318E" w:rsidRPr="00E23D9A" w:rsidRDefault="00E2318E" w:rsidP="00E2318E">
      <w:pPr>
        <w:rPr>
          <w:rFonts w:cs="Arial"/>
          <w:b/>
          <w:bCs/>
          <w:color w:val="4A362A"/>
          <w:kern w:val="36"/>
          <w:sz w:val="24"/>
          <w:szCs w:val="36"/>
        </w:rPr>
      </w:pPr>
      <w:r w:rsidRPr="002B324C">
        <w:rPr>
          <w:b/>
          <w:color w:val="FFFFFF" w:themeColor="background1"/>
          <w:sz w:val="24"/>
          <w:highlight w:val="red"/>
        </w:rPr>
        <w:t xml:space="preserve">Doc. </w:t>
      </w:r>
      <w:r w:rsidRPr="002B324C">
        <w:rPr>
          <w:b/>
          <w:color w:val="FFFFFF" w:themeColor="background1"/>
          <w:sz w:val="24"/>
        </w:rPr>
        <w:t xml:space="preserve"> </w:t>
      </w:r>
      <w:r w:rsidRPr="00E23D9A">
        <w:rPr>
          <w:rFonts w:cs="Arial"/>
          <w:b/>
          <w:bCs/>
          <w:color w:val="4A362A"/>
          <w:kern w:val="36"/>
          <w:sz w:val="24"/>
          <w:szCs w:val="36"/>
        </w:rPr>
        <w:t>Accident du travail et de maladie professionnelle : idées reçues</w:t>
      </w:r>
    </w:p>
    <w:p w14:paraId="7C4E64AB" w14:textId="77777777" w:rsidR="00E2318E" w:rsidRPr="00E2318E" w:rsidRDefault="00E2318E" w:rsidP="00E2318E">
      <w:pPr>
        <w:rPr>
          <w:rFonts w:cs="Arial"/>
          <w:i/>
          <w:sz w:val="20"/>
          <w:szCs w:val="20"/>
        </w:rPr>
      </w:pPr>
      <w:r w:rsidRPr="00E2318E">
        <w:rPr>
          <w:rFonts w:cs="Arial"/>
          <w:i/>
          <w:color w:val="000000"/>
          <w:sz w:val="20"/>
          <w:szCs w:val="18"/>
        </w:rPr>
        <w:t>Source : http://www.editions-tissot.fr/actualite/droit-du-travail-article.aspx</w:t>
      </w:r>
    </w:p>
    <w:p w14:paraId="6678EAF5" w14:textId="77777777" w:rsidR="00E2318E" w:rsidRPr="00E2318E" w:rsidRDefault="00E2318E" w:rsidP="00E2318E">
      <w:pPr>
        <w:spacing w:before="240"/>
        <w:rPr>
          <w:rFonts w:cs="Arial"/>
          <w:b/>
          <w:sz w:val="20"/>
          <w:szCs w:val="20"/>
        </w:rPr>
      </w:pPr>
      <w:r w:rsidRPr="00E2318E">
        <w:rPr>
          <w:rFonts w:cs="Arial"/>
          <w:b/>
          <w:sz w:val="20"/>
          <w:szCs w:val="20"/>
        </w:rPr>
        <w:t>Idée reçue : L’employeur n’a pas à établir une déclaration d’accident du travail lorsque le salarié s’est seulement coupé le doigt et que sa blessure n’a nécessité que la pose d’un pansement.</w:t>
      </w:r>
    </w:p>
    <w:p w14:paraId="47DA9624" w14:textId="77777777" w:rsidR="00E2318E" w:rsidRPr="00E2318E" w:rsidRDefault="00E2318E" w:rsidP="00E2318E">
      <w:pPr>
        <w:spacing w:after="120"/>
        <w:rPr>
          <w:rFonts w:cs="Arial"/>
          <w:b/>
          <w:sz w:val="20"/>
          <w:szCs w:val="20"/>
        </w:rPr>
      </w:pPr>
      <w:r w:rsidRPr="00E2318E">
        <w:rPr>
          <w:rFonts w:cs="Arial"/>
          <w:b/>
          <w:sz w:val="20"/>
          <w:szCs w:val="20"/>
        </w:rPr>
        <w:t>FAUX</w:t>
      </w:r>
    </w:p>
    <w:p w14:paraId="27BEB474" w14:textId="77777777" w:rsidR="00E2318E" w:rsidRPr="00E2318E" w:rsidRDefault="00E2318E" w:rsidP="00E2318E">
      <w:pPr>
        <w:rPr>
          <w:rFonts w:cs="Arial"/>
          <w:sz w:val="20"/>
          <w:szCs w:val="20"/>
        </w:rPr>
      </w:pPr>
      <w:r w:rsidRPr="00E2318E">
        <w:rPr>
          <w:rFonts w:cs="Arial"/>
          <w:sz w:val="20"/>
          <w:szCs w:val="20"/>
        </w:rPr>
        <w:t>Seules les entreprises disposant d’un registre des accidents bénins sont autorisées à ne pas établir de déclaration d’accident du travail, lorsque la lésion est bénigne et n’a pas nécessité d’arrêt de travail ou de soins médicaux (Code de la Sécurité sociale, art. L. 441-4).</w:t>
      </w:r>
    </w:p>
    <w:p w14:paraId="5A1D83A8" w14:textId="77777777" w:rsidR="00E2318E" w:rsidRPr="00E2318E" w:rsidRDefault="00E2318E" w:rsidP="00E2318E">
      <w:pPr>
        <w:rPr>
          <w:rFonts w:cs="Arial"/>
          <w:sz w:val="20"/>
          <w:szCs w:val="20"/>
        </w:rPr>
      </w:pPr>
      <w:r w:rsidRPr="00E2318E">
        <w:rPr>
          <w:rFonts w:cs="Arial"/>
          <w:sz w:val="20"/>
          <w:szCs w:val="20"/>
        </w:rPr>
        <w:t>Ce registre est délivré par la caisse d’assurance retraite et de la santé au travail sous certaines conditions (notamment la présence d’un poste de secours et d’un infirmier ou d’une personne disposant d’un diplôme de secouriste) et l’entreprise devra y consigner l’accident dans les 48 heures à partir du moment où elle en a eu connaissance. Si des complications ultérieures surviennent et nécessitent un arrêt de travail ou des soins médicaux, une déclaration d’accident du travail devra alors être établie.</w:t>
      </w:r>
    </w:p>
    <w:p w14:paraId="3950A2BE" w14:textId="77777777" w:rsidR="00E2318E" w:rsidRPr="00E2318E" w:rsidRDefault="00E2318E" w:rsidP="00E2318E">
      <w:pPr>
        <w:rPr>
          <w:rFonts w:cs="Arial"/>
          <w:sz w:val="20"/>
          <w:szCs w:val="20"/>
        </w:rPr>
      </w:pPr>
      <w:r w:rsidRPr="00E2318E">
        <w:rPr>
          <w:rFonts w:cs="Arial"/>
          <w:sz w:val="20"/>
          <w:szCs w:val="20"/>
        </w:rPr>
        <w:t>Pour les entreprises n’ayant pas de registre des accidents bénins, la déclaration d’accident du travail devra être établie dans tous les cas.</w:t>
      </w:r>
    </w:p>
    <w:p w14:paraId="65801D47" w14:textId="77777777" w:rsidR="00E2318E" w:rsidRPr="00E2318E" w:rsidRDefault="00E2318E" w:rsidP="00E2318E">
      <w:pPr>
        <w:rPr>
          <w:rFonts w:cs="Arial"/>
          <w:sz w:val="20"/>
          <w:szCs w:val="20"/>
        </w:rPr>
      </w:pPr>
      <w:r w:rsidRPr="00E2318E">
        <w:rPr>
          <w:rFonts w:cs="Arial"/>
          <w:sz w:val="20"/>
          <w:szCs w:val="20"/>
        </w:rPr>
        <w:t>À défaut, l’employeur s’expose à des sanctions : une amende de 750 euros (3.000 euros en cas de récidive) et une pénalité financière fixée suivant la gravité des faits (jusqu’à 3.129 euros pour 2014). La CPAM pourra aussi lui demander de rembourser l’ensemble des dépenses engagées.</w:t>
      </w:r>
    </w:p>
    <w:p w14:paraId="7EF006DA" w14:textId="77777777" w:rsidR="00E2318E" w:rsidRPr="00E2318E" w:rsidRDefault="00E2318E" w:rsidP="00E2318E">
      <w:pPr>
        <w:rPr>
          <w:rFonts w:cs="Arial"/>
          <w:sz w:val="20"/>
          <w:szCs w:val="20"/>
        </w:rPr>
      </w:pPr>
      <w:r w:rsidRPr="00E2318E">
        <w:rPr>
          <w:rFonts w:cs="Arial"/>
          <w:sz w:val="20"/>
          <w:szCs w:val="20"/>
        </w:rPr>
        <w:t> </w:t>
      </w:r>
    </w:p>
    <w:p w14:paraId="5943E622" w14:textId="77777777" w:rsidR="00E2318E" w:rsidRPr="00E2318E" w:rsidRDefault="00E2318E" w:rsidP="00E2318E">
      <w:pPr>
        <w:rPr>
          <w:rFonts w:cs="Arial"/>
          <w:b/>
          <w:sz w:val="20"/>
          <w:szCs w:val="20"/>
        </w:rPr>
      </w:pPr>
      <w:r w:rsidRPr="00E2318E">
        <w:rPr>
          <w:rFonts w:cs="Arial"/>
          <w:b/>
          <w:sz w:val="20"/>
          <w:szCs w:val="20"/>
        </w:rPr>
        <w:t>Idée reçue : Le fait pour un salarié de ne pas porter ses équipements de protection n’empêche pas la qualification d’accident du travail par la caisse primaire.</w:t>
      </w:r>
    </w:p>
    <w:p w14:paraId="1CE099D2" w14:textId="77777777" w:rsidR="00E2318E" w:rsidRPr="00E2318E" w:rsidRDefault="00E2318E" w:rsidP="00E2318E">
      <w:pPr>
        <w:spacing w:after="120"/>
        <w:rPr>
          <w:rFonts w:cs="Arial"/>
          <w:b/>
          <w:sz w:val="20"/>
          <w:szCs w:val="20"/>
        </w:rPr>
      </w:pPr>
      <w:r w:rsidRPr="00E2318E">
        <w:rPr>
          <w:rFonts w:cs="Arial"/>
          <w:b/>
          <w:sz w:val="20"/>
          <w:szCs w:val="20"/>
        </w:rPr>
        <w:t>VRAI</w:t>
      </w:r>
    </w:p>
    <w:p w14:paraId="6F79BD3E" w14:textId="77777777" w:rsidR="00E2318E" w:rsidRPr="00E2318E" w:rsidRDefault="00E2318E" w:rsidP="00E2318E">
      <w:pPr>
        <w:rPr>
          <w:rFonts w:cs="Arial"/>
          <w:sz w:val="20"/>
          <w:szCs w:val="20"/>
        </w:rPr>
      </w:pPr>
      <w:proofErr w:type="gramStart"/>
      <w:r w:rsidRPr="00E2318E">
        <w:rPr>
          <w:rFonts w:cs="Arial"/>
          <w:sz w:val="20"/>
          <w:szCs w:val="20"/>
        </w:rPr>
        <w:t>Malgré</w:t>
      </w:r>
      <w:proofErr w:type="gramEnd"/>
      <w:r w:rsidRPr="00E2318E">
        <w:rPr>
          <w:rFonts w:cs="Arial"/>
          <w:sz w:val="20"/>
          <w:szCs w:val="20"/>
        </w:rPr>
        <w:t xml:space="preserve"> que le salarié ait commis une faute en ne portant pas ses équipements de protection, cette circonstance ne conduira pas la CPAM à rejeter la qualification d’accident du travail dès lors que la preuve de la survenance de l’accident au temps et au lieu de travail est rapportée.</w:t>
      </w:r>
    </w:p>
    <w:p w14:paraId="2C5DD6F4" w14:textId="77777777" w:rsidR="00E2318E" w:rsidRPr="00E2318E" w:rsidRDefault="00E2318E" w:rsidP="00E2318E">
      <w:pPr>
        <w:rPr>
          <w:rFonts w:cs="Arial"/>
          <w:sz w:val="20"/>
          <w:szCs w:val="20"/>
        </w:rPr>
      </w:pPr>
      <w:r w:rsidRPr="00E2318E">
        <w:rPr>
          <w:rFonts w:cs="Arial"/>
          <w:sz w:val="20"/>
          <w:szCs w:val="20"/>
        </w:rPr>
        <w:t>En revanche, il appartient à l’employeur de sanctionner ce type de comportement, surtout s’il se répète, en mettant en œuvre la procédure disciplinaire applicable (avertissement, mise à pied, etc.) et d’en aviser la CPAM.</w:t>
      </w:r>
    </w:p>
    <w:p w14:paraId="270C29FB" w14:textId="77777777" w:rsidR="00E2318E" w:rsidRPr="00E2318E" w:rsidRDefault="00E2318E" w:rsidP="00E2318E">
      <w:pPr>
        <w:rPr>
          <w:rFonts w:cs="Arial"/>
          <w:color w:val="000000" w:themeColor="text1"/>
          <w:sz w:val="20"/>
          <w:szCs w:val="18"/>
        </w:rPr>
      </w:pPr>
      <w:r w:rsidRPr="00E2318E">
        <w:rPr>
          <w:rFonts w:cs="Arial"/>
          <w:sz w:val="20"/>
          <w:szCs w:val="20"/>
        </w:rPr>
        <w:t xml:space="preserve">Enfin, l’employeur qui ne s’assure pas que ses salariés sont bien munis de leur équipement de protection individuelle (EPI) commet une faute caractérisée (Cass. </w:t>
      </w:r>
      <w:proofErr w:type="spellStart"/>
      <w:r w:rsidRPr="00E2318E">
        <w:rPr>
          <w:rFonts w:cs="Arial"/>
          <w:sz w:val="20"/>
          <w:szCs w:val="20"/>
        </w:rPr>
        <w:t>crim</w:t>
      </w:r>
      <w:proofErr w:type="spellEnd"/>
      <w:r w:rsidRPr="00E2318E">
        <w:rPr>
          <w:rFonts w:cs="Arial"/>
          <w:sz w:val="20"/>
          <w:szCs w:val="20"/>
        </w:rPr>
        <w:t>., 25 mars 2014, n° 13-83002), laquelle pourra engager sa responsabilité pénale, par exemple en cas de décès accidentel du salarié (homicide involontaire).</w:t>
      </w:r>
    </w:p>
    <w:p w14:paraId="18B345C6" w14:textId="77777777" w:rsidR="00E2318E" w:rsidRPr="00E2318E" w:rsidRDefault="00E2318E" w:rsidP="00E2318E">
      <w:pPr>
        <w:rPr>
          <w:rStyle w:val="Lienhypertexte"/>
          <w:sz w:val="20"/>
          <w:szCs w:val="20"/>
        </w:rPr>
      </w:pPr>
    </w:p>
    <w:p w14:paraId="30886A43" w14:textId="77777777" w:rsidR="00E2318E" w:rsidRDefault="00E2318E" w:rsidP="00E2318E">
      <w:pPr>
        <w:rPr>
          <w:rStyle w:val="Lienhypertexte"/>
        </w:rPr>
      </w:pPr>
    </w:p>
    <w:p w14:paraId="7C61620E" w14:textId="77777777" w:rsidR="00E2318E" w:rsidRDefault="00E2318E" w:rsidP="00E2318E">
      <w:pPr>
        <w:rPr>
          <w:rStyle w:val="Lienhypertexte"/>
        </w:rPr>
      </w:pPr>
    </w:p>
    <w:p w14:paraId="3EFBAB7F" w14:textId="77777777" w:rsidR="00E2318E" w:rsidRDefault="00E2318E" w:rsidP="00E2318E">
      <w:pPr>
        <w:rPr>
          <w:rStyle w:val="Lienhypertexte"/>
        </w:rPr>
      </w:pPr>
    </w:p>
    <w:bookmarkEnd w:id="0"/>
    <w:p w14:paraId="041A0D67" w14:textId="77777777" w:rsidR="00E507DB" w:rsidRDefault="00E507DB" w:rsidP="00E507DB">
      <w:pPr>
        <w:rPr>
          <w:rFonts w:cs="Arial"/>
          <w:b/>
        </w:rPr>
      </w:pPr>
    </w:p>
    <w:p w14:paraId="7680D5E5" w14:textId="77777777" w:rsidR="00E507DB" w:rsidRDefault="00E507DB" w:rsidP="00E507DB">
      <w:pPr>
        <w:rPr>
          <w:rFonts w:cs="Arial"/>
          <w:b/>
        </w:rPr>
      </w:pPr>
    </w:p>
    <w:p w14:paraId="479ABC36" w14:textId="092EB143" w:rsidR="00E507DB" w:rsidRPr="004B3A28" w:rsidRDefault="00E2318E" w:rsidP="00E507DB">
      <w:pPr>
        <w:rPr>
          <w:rFonts w:cs="Arial"/>
          <w:b/>
          <w:sz w:val="24"/>
        </w:rPr>
      </w:pPr>
      <w:r>
        <w:rPr>
          <w:rFonts w:cs="Arial"/>
          <w:b/>
          <w:sz w:val="24"/>
        </w:rPr>
        <w:t>Réponses</w:t>
      </w:r>
    </w:p>
    <w:p w14:paraId="44681E98" w14:textId="607570C8" w:rsidR="00E507DB" w:rsidRPr="00E2318E" w:rsidRDefault="00E507DB" w:rsidP="00E2318E">
      <w:pPr>
        <w:pStyle w:val="Paragraphedeliste"/>
        <w:numPr>
          <w:ilvl w:val="0"/>
          <w:numId w:val="11"/>
        </w:numPr>
        <w:rPr>
          <w:rFonts w:cs="Arial"/>
          <w:b/>
          <w:sz w:val="24"/>
        </w:rPr>
      </w:pPr>
      <w:r w:rsidRPr="00E2318E">
        <w:rPr>
          <w:rFonts w:cs="Arial"/>
          <w:b/>
          <w:sz w:val="24"/>
        </w:rPr>
        <w:t>Quelles sont les entreprises qui ont un registre des accidents bénins ?</w:t>
      </w:r>
    </w:p>
    <w:p w14:paraId="696A7DEA" w14:textId="1C8111D9" w:rsidR="00E507DB" w:rsidRDefault="00E507DB" w:rsidP="00E507DB">
      <w:pPr>
        <w:rPr>
          <w:rFonts w:cs="Arial"/>
          <w:b/>
          <w:sz w:val="24"/>
        </w:rPr>
      </w:pPr>
    </w:p>
    <w:p w14:paraId="1E96774B" w14:textId="77777777" w:rsidR="00E2318E" w:rsidRPr="004B3A28" w:rsidRDefault="00E2318E" w:rsidP="00E507DB">
      <w:pPr>
        <w:rPr>
          <w:rFonts w:cs="Arial"/>
          <w:b/>
          <w:sz w:val="24"/>
        </w:rPr>
      </w:pPr>
    </w:p>
    <w:p w14:paraId="356D6BE6" w14:textId="77777777" w:rsidR="00E507DB" w:rsidRPr="004B3A28" w:rsidRDefault="00E507DB" w:rsidP="00E2318E">
      <w:pPr>
        <w:pStyle w:val="Paragraphedeliste"/>
        <w:numPr>
          <w:ilvl w:val="0"/>
          <w:numId w:val="11"/>
        </w:numPr>
        <w:rPr>
          <w:rFonts w:cs="Arial"/>
          <w:b/>
          <w:sz w:val="24"/>
        </w:rPr>
      </w:pPr>
      <w:r w:rsidRPr="004B3A28">
        <w:rPr>
          <w:rFonts w:cs="Arial"/>
          <w:b/>
          <w:sz w:val="24"/>
        </w:rPr>
        <w:t>Pourquoi la coupure à un doigt ne fait pas l’objet d’une déclaration d’accident du travail si l’entreprise à un registre des accidents bénins ?</w:t>
      </w:r>
    </w:p>
    <w:p w14:paraId="41D133FE" w14:textId="77777777" w:rsidR="00E507DB" w:rsidRPr="004B3A28" w:rsidRDefault="00E507DB" w:rsidP="00E507DB">
      <w:pPr>
        <w:pStyle w:val="Paragraphedeliste"/>
        <w:rPr>
          <w:rFonts w:cs="Arial"/>
          <w:b/>
          <w:sz w:val="24"/>
        </w:rPr>
      </w:pPr>
    </w:p>
    <w:p w14:paraId="11C45E29" w14:textId="77777777" w:rsidR="00E507DB" w:rsidRPr="004B3A28" w:rsidRDefault="00E507DB" w:rsidP="00E507DB">
      <w:pPr>
        <w:rPr>
          <w:rFonts w:cs="Arial"/>
          <w:b/>
          <w:sz w:val="24"/>
        </w:rPr>
      </w:pPr>
    </w:p>
    <w:p w14:paraId="355CF7ED" w14:textId="77777777" w:rsidR="00E507DB" w:rsidRPr="004B3A28" w:rsidRDefault="00E507DB" w:rsidP="00E2318E">
      <w:pPr>
        <w:pStyle w:val="Paragraphedeliste"/>
        <w:numPr>
          <w:ilvl w:val="0"/>
          <w:numId w:val="11"/>
        </w:numPr>
        <w:rPr>
          <w:rFonts w:cs="Arial"/>
          <w:b/>
          <w:sz w:val="24"/>
        </w:rPr>
      </w:pPr>
      <w:r w:rsidRPr="004B3A28">
        <w:rPr>
          <w:rFonts w:cs="Arial"/>
          <w:b/>
          <w:sz w:val="24"/>
        </w:rPr>
        <w:t>Quels sont les risques encourus par l’entreprise qui « oublie » de déclarer un accident du travail ?</w:t>
      </w:r>
    </w:p>
    <w:p w14:paraId="4AA01F4E" w14:textId="0D6B3A56" w:rsidR="00E507DB" w:rsidRDefault="00E507DB" w:rsidP="00E507DB">
      <w:pPr>
        <w:rPr>
          <w:rFonts w:cs="Arial"/>
          <w:b/>
          <w:sz w:val="24"/>
        </w:rPr>
      </w:pPr>
    </w:p>
    <w:p w14:paraId="65A9B0A9" w14:textId="77777777" w:rsidR="00E2318E" w:rsidRPr="004B3A28" w:rsidRDefault="00E2318E" w:rsidP="00E507DB">
      <w:pPr>
        <w:rPr>
          <w:rFonts w:cs="Arial"/>
          <w:b/>
          <w:sz w:val="24"/>
        </w:rPr>
      </w:pPr>
    </w:p>
    <w:p w14:paraId="7BDDD5DD" w14:textId="218FF9A5" w:rsidR="00E507DB" w:rsidRPr="004B3A28" w:rsidRDefault="009113F7" w:rsidP="00E2318E">
      <w:pPr>
        <w:pStyle w:val="Paragraphedeliste"/>
        <w:numPr>
          <w:ilvl w:val="0"/>
          <w:numId w:val="11"/>
        </w:numPr>
        <w:rPr>
          <w:rFonts w:cs="Arial"/>
          <w:b/>
          <w:sz w:val="24"/>
        </w:rPr>
      </w:pPr>
      <w:r>
        <w:rPr>
          <w:rFonts w:cs="Arial"/>
          <w:b/>
          <w:sz w:val="24"/>
        </w:rPr>
        <w:t>La faute</w:t>
      </w:r>
      <w:r w:rsidR="00E507DB" w:rsidRPr="004B3A28">
        <w:rPr>
          <w:rFonts w:cs="Arial"/>
          <w:b/>
          <w:sz w:val="24"/>
        </w:rPr>
        <w:t xml:space="preserve"> du salarié </w:t>
      </w:r>
      <w:r w:rsidR="004A5D0E">
        <w:rPr>
          <w:rFonts w:cs="Arial"/>
          <w:b/>
          <w:sz w:val="24"/>
        </w:rPr>
        <w:t>exonère-t-elle</w:t>
      </w:r>
      <w:r w:rsidR="00E507DB" w:rsidRPr="004B3A28">
        <w:rPr>
          <w:rFonts w:cs="Arial"/>
          <w:b/>
          <w:sz w:val="24"/>
        </w:rPr>
        <w:t xml:space="preserve"> l’employeur de sa responsabilité ? Pourquoi ?</w:t>
      </w:r>
    </w:p>
    <w:p w14:paraId="08627A05" w14:textId="77777777" w:rsidR="00B83992" w:rsidRPr="004B3A28" w:rsidRDefault="00B83992" w:rsidP="00B83992">
      <w:pPr>
        <w:rPr>
          <w:rFonts w:cs="Arial"/>
          <w:sz w:val="24"/>
          <w:lang w:eastAsia="fr-FR"/>
        </w:rPr>
      </w:pPr>
    </w:p>
    <w:sectPr w:rsidR="00B83992" w:rsidRPr="004B3A28" w:rsidSect="00E2318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691566"/>
    <w:multiLevelType w:val="multilevel"/>
    <w:tmpl w:val="4C12AF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010706B"/>
    <w:multiLevelType w:val="hybridMultilevel"/>
    <w:tmpl w:val="FE3A93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4745739"/>
    <w:multiLevelType w:val="hybridMultilevel"/>
    <w:tmpl w:val="C85A9D5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3425172"/>
    <w:multiLevelType w:val="hybridMultilevel"/>
    <w:tmpl w:val="8C1A33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B3461B"/>
    <w:multiLevelType w:val="multilevel"/>
    <w:tmpl w:val="6D5242A2"/>
    <w:lvl w:ilvl="0">
      <w:start w:val="3"/>
      <w:numFmt w:val="bullet"/>
      <w:lvlText w:val="-"/>
      <w:lvlJc w:val="left"/>
      <w:pPr>
        <w:tabs>
          <w:tab w:val="num" w:pos="360"/>
        </w:tabs>
        <w:ind w:left="360" w:hanging="360"/>
      </w:pPr>
      <w:rPr>
        <w:rFonts w:ascii="Arial" w:eastAsia="Calibri"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1B56D3A"/>
    <w:multiLevelType w:val="hybridMultilevel"/>
    <w:tmpl w:val="17E655F4"/>
    <w:lvl w:ilvl="0" w:tplc="9FF2B76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E384DFC"/>
    <w:multiLevelType w:val="hybridMultilevel"/>
    <w:tmpl w:val="00B69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55D5E04"/>
    <w:multiLevelType w:val="hybridMultilevel"/>
    <w:tmpl w:val="F7B0A98C"/>
    <w:lvl w:ilvl="0" w:tplc="A1D8694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0D86382"/>
    <w:multiLevelType w:val="hybridMultilevel"/>
    <w:tmpl w:val="89005950"/>
    <w:lvl w:ilvl="0" w:tplc="346C5E4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FBA60C4"/>
    <w:multiLevelType w:val="multilevel"/>
    <w:tmpl w:val="130E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72037">
    <w:abstractNumId w:val="0"/>
  </w:num>
  <w:num w:numId="2" w16cid:durableId="558134190">
    <w:abstractNumId w:val="9"/>
  </w:num>
  <w:num w:numId="3" w16cid:durableId="1236818879">
    <w:abstractNumId w:val="2"/>
  </w:num>
  <w:num w:numId="4" w16cid:durableId="147719276">
    <w:abstractNumId w:val="8"/>
  </w:num>
  <w:num w:numId="5" w16cid:durableId="2007980195">
    <w:abstractNumId w:val="6"/>
  </w:num>
  <w:num w:numId="6" w16cid:durableId="466970873">
    <w:abstractNumId w:val="7"/>
  </w:num>
  <w:num w:numId="7" w16cid:durableId="1651446791">
    <w:abstractNumId w:val="10"/>
  </w:num>
  <w:num w:numId="8" w16cid:durableId="46925543">
    <w:abstractNumId w:val="1"/>
  </w:num>
  <w:num w:numId="9" w16cid:durableId="1514145811">
    <w:abstractNumId w:val="4"/>
  </w:num>
  <w:num w:numId="10" w16cid:durableId="283847973">
    <w:abstractNumId w:val="5"/>
  </w:num>
  <w:num w:numId="11" w16cid:durableId="550730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92"/>
    <w:rsid w:val="001A0D1A"/>
    <w:rsid w:val="001F64B8"/>
    <w:rsid w:val="004A5D0E"/>
    <w:rsid w:val="004B3A28"/>
    <w:rsid w:val="005A5630"/>
    <w:rsid w:val="007535C5"/>
    <w:rsid w:val="009113F7"/>
    <w:rsid w:val="00B83992"/>
    <w:rsid w:val="00C57F1E"/>
    <w:rsid w:val="00E2318E"/>
    <w:rsid w:val="00E507DB"/>
    <w:rsid w:val="00E54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7CBE"/>
  <w15:chartTrackingRefBased/>
  <w15:docId w15:val="{BCB47A7A-E7DC-4BD2-994B-A9DC3835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92"/>
    <w:pPr>
      <w:spacing w:before="120" w:after="0" w:line="240" w:lineRule="auto"/>
      <w:jc w:val="both"/>
    </w:pPr>
    <w:rPr>
      <w:rFonts w:ascii="Arial" w:eastAsia="Calibri" w:hAnsi="Arial" w:cs="Times New Roman"/>
    </w:rPr>
  </w:style>
  <w:style w:type="paragraph" w:styleId="Titre2">
    <w:name w:val="heading 2"/>
    <w:basedOn w:val="Normal"/>
    <w:link w:val="Titre2Car"/>
    <w:uiPriority w:val="9"/>
    <w:qFormat/>
    <w:rsid w:val="00B83992"/>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qFormat/>
    <w:rsid w:val="00B83992"/>
    <w:pPr>
      <w:numPr>
        <w:numId w:val="1"/>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83992"/>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B83992"/>
    <w:rPr>
      <w:rFonts w:ascii="Arial" w:eastAsia="Times New Roman" w:hAnsi="Arial" w:cs="Arial"/>
      <w:b/>
      <w:color w:val="000000"/>
      <w:sz w:val="24"/>
      <w:szCs w:val="20"/>
      <w:lang w:eastAsia="fr-FR"/>
    </w:rPr>
  </w:style>
  <w:style w:type="paragraph" w:styleId="NormalWeb">
    <w:name w:val="Normal (Web)"/>
    <w:basedOn w:val="Normal"/>
    <w:uiPriority w:val="99"/>
    <w:rsid w:val="00B83992"/>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B83992"/>
    <w:rPr>
      <w:b/>
      <w:bCs/>
    </w:rPr>
  </w:style>
  <w:style w:type="paragraph" w:styleId="Paragraphedeliste">
    <w:name w:val="List Paragraph"/>
    <w:basedOn w:val="Normal"/>
    <w:uiPriority w:val="34"/>
    <w:qFormat/>
    <w:rsid w:val="00B83992"/>
    <w:pPr>
      <w:ind w:left="720"/>
      <w:contextualSpacing/>
    </w:pPr>
  </w:style>
  <w:style w:type="character" w:styleId="Lienhypertexte">
    <w:name w:val="Hyperlink"/>
    <w:uiPriority w:val="99"/>
    <w:unhideWhenUsed/>
    <w:rsid w:val="00E23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2981</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2015-09-10T21:16:00Z</dcterms:created>
  <dcterms:modified xsi:type="dcterms:W3CDTF">2023-11-04T23:05:00Z</dcterms:modified>
</cp:coreProperties>
</file>