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796"/>
        <w:gridCol w:w="993"/>
      </w:tblGrid>
      <w:tr w:rsidR="001D6932" w:rsidRPr="00493881" w14:paraId="05411D15" w14:textId="77777777" w:rsidTr="00166679">
        <w:trPr>
          <w:trHeight w:val="386"/>
        </w:trPr>
        <w:tc>
          <w:tcPr>
            <w:tcW w:w="10060" w:type="dxa"/>
            <w:gridSpan w:val="3"/>
            <w:shd w:val="clear" w:color="auto" w:fill="FFFF00"/>
          </w:tcPr>
          <w:p w14:paraId="6ACE3E83" w14:textId="77777777" w:rsidR="001D6932" w:rsidRPr="00493881" w:rsidRDefault="001D6932" w:rsidP="00166679">
            <w:pPr>
              <w:pStyle w:val="Titre2"/>
              <w:spacing w:after="120"/>
              <w:jc w:val="center"/>
              <w:rPr>
                <w:rFonts w:cs="Arial"/>
                <w:szCs w:val="22"/>
              </w:rPr>
            </w:pPr>
            <w:r w:rsidRPr="00493881">
              <w:rPr>
                <w:rFonts w:cs="Arial"/>
                <w:szCs w:val="22"/>
              </w:rPr>
              <w:t>Réflexion 2 - Identifier le coût d’acquisition des immobilisations</w:t>
            </w:r>
          </w:p>
        </w:tc>
      </w:tr>
      <w:tr w:rsidR="001D6932" w:rsidRPr="001D6932" w14:paraId="54902AA9" w14:textId="77777777" w:rsidTr="00166679">
        <w:trPr>
          <w:trHeight w:val="267"/>
        </w:trPr>
        <w:tc>
          <w:tcPr>
            <w:tcW w:w="1271" w:type="dxa"/>
            <w:shd w:val="clear" w:color="auto" w:fill="FFFF00"/>
            <w:vAlign w:val="center"/>
          </w:tcPr>
          <w:p w14:paraId="2E055AEA" w14:textId="77777777" w:rsidR="001D6932" w:rsidRPr="001D6932" w:rsidRDefault="001D6932" w:rsidP="00166679">
            <w:pPr>
              <w:spacing w:before="0"/>
              <w:rPr>
                <w:bCs/>
                <w:i/>
                <w:sz w:val="20"/>
                <w:szCs w:val="18"/>
              </w:rPr>
            </w:pPr>
            <w:r w:rsidRPr="001D6932">
              <w:rPr>
                <w:bCs/>
                <w:sz w:val="20"/>
                <w:szCs w:val="18"/>
              </w:rPr>
              <w:t>Durée : 15’</w:t>
            </w:r>
          </w:p>
        </w:tc>
        <w:tc>
          <w:tcPr>
            <w:tcW w:w="7796" w:type="dxa"/>
            <w:shd w:val="clear" w:color="auto" w:fill="FFFF00"/>
            <w:vAlign w:val="center"/>
          </w:tcPr>
          <w:p w14:paraId="1E7D83E6" w14:textId="77777777" w:rsidR="001D6932" w:rsidRPr="001D6932" w:rsidRDefault="001D6932" w:rsidP="00166679">
            <w:pPr>
              <w:spacing w:before="0"/>
              <w:jc w:val="center"/>
              <w:rPr>
                <w:bCs/>
                <w:i/>
                <w:sz w:val="20"/>
                <w:szCs w:val="18"/>
              </w:rPr>
            </w:pPr>
            <w:r w:rsidRPr="001D6932">
              <w:rPr>
                <w:bCs/>
                <w:i/>
                <w:noProof/>
                <w:sz w:val="20"/>
                <w:szCs w:val="18"/>
              </w:rPr>
              <w:drawing>
                <wp:inline distT="0" distB="0" distL="0" distR="0" wp14:anchorId="354030CD" wp14:editId="7A9D00F6">
                  <wp:extent cx="324000" cy="324000"/>
                  <wp:effectExtent l="0" t="0" r="0" b="0"/>
                  <wp:docPr id="3" name="Graphique 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1D6932">
              <w:rPr>
                <w:bCs/>
                <w:iCs/>
                <w:sz w:val="20"/>
                <w:szCs w:val="18"/>
              </w:rPr>
              <w:t>ou</w:t>
            </w:r>
            <w:r w:rsidRPr="001D6932">
              <w:rPr>
                <w:bCs/>
                <w:i/>
                <w:noProof/>
                <w:sz w:val="20"/>
                <w:szCs w:val="18"/>
              </w:rPr>
              <w:drawing>
                <wp:inline distT="0" distB="0" distL="0" distR="0" wp14:anchorId="743ACB0F" wp14:editId="0E8CFBA8">
                  <wp:extent cx="360000" cy="360000"/>
                  <wp:effectExtent l="0" t="0" r="0" b="2540"/>
                  <wp:docPr id="6" name="Graphique 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5039CD92" w14:textId="77777777" w:rsidR="001D6932" w:rsidRPr="001D6932" w:rsidRDefault="001D6932" w:rsidP="00166679">
            <w:pPr>
              <w:spacing w:before="0"/>
              <w:jc w:val="center"/>
              <w:rPr>
                <w:bCs/>
                <w:i/>
                <w:sz w:val="20"/>
                <w:szCs w:val="18"/>
              </w:rPr>
            </w:pPr>
            <w:r w:rsidRPr="001D6932">
              <w:rPr>
                <w:bCs/>
                <w:iCs/>
                <w:sz w:val="20"/>
                <w:szCs w:val="18"/>
              </w:rPr>
              <w:t>Source</w:t>
            </w:r>
          </w:p>
        </w:tc>
      </w:tr>
    </w:tbl>
    <w:p w14:paraId="39C18051" w14:textId="77777777" w:rsidR="001D6932" w:rsidRPr="00523FB3" w:rsidRDefault="001D6932" w:rsidP="001D6932">
      <w:pPr>
        <w:rPr>
          <w:rFonts w:cs="Arial"/>
          <w:b/>
          <w:sz w:val="24"/>
          <w:szCs w:val="24"/>
        </w:rPr>
      </w:pPr>
      <w:r w:rsidRPr="00523FB3">
        <w:rPr>
          <w:rFonts w:cs="Arial"/>
          <w:b/>
          <w:sz w:val="24"/>
          <w:szCs w:val="24"/>
        </w:rPr>
        <w:t>Travail à faire</w:t>
      </w:r>
    </w:p>
    <w:p w14:paraId="4F6484FB" w14:textId="77777777" w:rsidR="001D6932" w:rsidRPr="001D6932" w:rsidRDefault="001D6932" w:rsidP="001D6932">
      <w:pPr>
        <w:spacing w:after="60"/>
        <w:rPr>
          <w:rFonts w:cs="Arial"/>
          <w:bCs/>
          <w:sz w:val="20"/>
          <w:szCs w:val="18"/>
        </w:rPr>
      </w:pPr>
      <w:r w:rsidRPr="001D6932">
        <w:rPr>
          <w:rFonts w:cs="Arial"/>
          <w:bCs/>
          <w:sz w:val="20"/>
          <w:szCs w:val="18"/>
        </w:rPr>
        <w:t xml:space="preserve">Après avoir lu le </w:t>
      </w:r>
      <w:r w:rsidRPr="001D6932">
        <w:rPr>
          <w:rFonts w:cs="Arial"/>
          <w:b/>
          <w:sz w:val="20"/>
          <w:szCs w:val="18"/>
        </w:rPr>
        <w:t>document</w:t>
      </w:r>
      <w:r w:rsidRPr="001D6932">
        <w:rPr>
          <w:rFonts w:cs="Arial"/>
          <w:bCs/>
          <w:sz w:val="20"/>
          <w:szCs w:val="18"/>
        </w:rPr>
        <w:t>, répondez aux questions suivantes :</w:t>
      </w:r>
    </w:p>
    <w:p w14:paraId="5E4E7E0E" w14:textId="77777777" w:rsidR="001D6932" w:rsidRPr="001D6932" w:rsidRDefault="001D6932" w:rsidP="001D6932">
      <w:pPr>
        <w:pStyle w:val="Paragraphedeliste"/>
        <w:numPr>
          <w:ilvl w:val="0"/>
          <w:numId w:val="1"/>
        </w:numPr>
        <w:spacing w:before="0"/>
        <w:rPr>
          <w:bCs/>
          <w:sz w:val="20"/>
          <w:szCs w:val="18"/>
        </w:rPr>
      </w:pPr>
      <w:r w:rsidRPr="001D6932">
        <w:rPr>
          <w:bCs/>
          <w:sz w:val="20"/>
          <w:szCs w:val="18"/>
        </w:rPr>
        <w:t>Où doivent apparaitre les immobilisations ?</w:t>
      </w:r>
    </w:p>
    <w:p w14:paraId="0446B602" w14:textId="77777777" w:rsidR="001D6932" w:rsidRPr="001D6932" w:rsidRDefault="001D6932" w:rsidP="001D6932">
      <w:pPr>
        <w:pStyle w:val="Paragraphedeliste"/>
        <w:numPr>
          <w:ilvl w:val="0"/>
          <w:numId w:val="1"/>
        </w:numPr>
        <w:spacing w:before="0"/>
        <w:rPr>
          <w:bCs/>
          <w:sz w:val="20"/>
          <w:szCs w:val="18"/>
        </w:rPr>
      </w:pPr>
      <w:r w:rsidRPr="001D6932">
        <w:rPr>
          <w:bCs/>
          <w:sz w:val="20"/>
          <w:szCs w:val="18"/>
        </w:rPr>
        <w:t>Les immobilisations reçues à titre gratuit par l’entreprises doivent-elles y apparaître ?</w:t>
      </w:r>
    </w:p>
    <w:p w14:paraId="27C112D1" w14:textId="77777777" w:rsidR="001D6932" w:rsidRPr="001D6932" w:rsidRDefault="001D6932" w:rsidP="001D6932">
      <w:pPr>
        <w:pStyle w:val="Paragraphedeliste"/>
        <w:numPr>
          <w:ilvl w:val="0"/>
          <w:numId w:val="1"/>
        </w:numPr>
        <w:spacing w:before="0"/>
        <w:rPr>
          <w:bCs/>
          <w:sz w:val="20"/>
          <w:szCs w:val="18"/>
        </w:rPr>
      </w:pPr>
      <w:r w:rsidRPr="001D6932">
        <w:rPr>
          <w:bCs/>
          <w:sz w:val="20"/>
          <w:szCs w:val="18"/>
        </w:rPr>
        <w:t>Pour quelle valeur doivent-elles y apparaître ?</w:t>
      </w:r>
    </w:p>
    <w:p w14:paraId="34FB9639" w14:textId="77777777" w:rsidR="001D6932" w:rsidRPr="001D6932" w:rsidRDefault="001D6932" w:rsidP="001D6932">
      <w:pPr>
        <w:pStyle w:val="Paragraphedeliste"/>
        <w:numPr>
          <w:ilvl w:val="0"/>
          <w:numId w:val="1"/>
        </w:numPr>
        <w:spacing w:before="0"/>
        <w:rPr>
          <w:bCs/>
          <w:sz w:val="20"/>
          <w:szCs w:val="18"/>
        </w:rPr>
      </w:pPr>
      <w:r w:rsidRPr="001D6932">
        <w:rPr>
          <w:bCs/>
          <w:sz w:val="20"/>
          <w:szCs w:val="18"/>
        </w:rPr>
        <w:t>Qu’inclut le coût d’acquisition d’une immobilisation ?</w:t>
      </w:r>
    </w:p>
    <w:p w14:paraId="32BEC853" w14:textId="77777777" w:rsidR="001D6932" w:rsidRPr="00C45BEF" w:rsidRDefault="001D6932" w:rsidP="001D6932">
      <w:pPr>
        <w:pStyle w:val="Paragraphedeliste"/>
        <w:spacing w:before="0"/>
        <w:ind w:left="360"/>
        <w:rPr>
          <w:b/>
        </w:rPr>
      </w:pPr>
    </w:p>
    <w:p w14:paraId="5C17D3CB" w14:textId="77777777" w:rsidR="001D6932" w:rsidRPr="00BF5552" w:rsidRDefault="001D6932" w:rsidP="001D6932">
      <w:pPr>
        <w:overflowPunct/>
        <w:autoSpaceDE/>
        <w:autoSpaceDN/>
        <w:adjustRightInd/>
        <w:textAlignment w:val="auto"/>
        <w:rPr>
          <w:rFonts w:cs="Arial"/>
          <w:b/>
          <w:bCs/>
          <w:sz w:val="24"/>
          <w:szCs w:val="22"/>
        </w:rPr>
      </w:pPr>
      <w:r w:rsidRPr="003F32A0">
        <w:rPr>
          <w:rFonts w:cs="Arial"/>
          <w:b/>
          <w:bCs/>
          <w:color w:val="FFFFFF" w:themeColor="background1"/>
          <w:sz w:val="24"/>
          <w:szCs w:val="22"/>
          <w:highlight w:val="red"/>
        </w:rPr>
        <w:t xml:space="preserve">Doc. </w:t>
      </w:r>
      <w:r w:rsidRPr="003F32A0">
        <w:rPr>
          <w:rFonts w:cs="Arial"/>
          <w:b/>
          <w:bCs/>
          <w:color w:val="FFFFFF" w:themeColor="background1"/>
          <w:sz w:val="24"/>
          <w:szCs w:val="22"/>
        </w:rPr>
        <w:t xml:space="preserve">  </w:t>
      </w:r>
      <w:r w:rsidRPr="00BF5552">
        <w:rPr>
          <w:rFonts w:cs="Arial"/>
          <w:b/>
          <w:bCs/>
          <w:color w:val="000000"/>
          <w:sz w:val="24"/>
          <w:szCs w:val="22"/>
        </w:rPr>
        <w:t xml:space="preserve">Valorisation des actifs - </w:t>
      </w:r>
      <w:r w:rsidRPr="00BF5552">
        <w:rPr>
          <w:rFonts w:cs="Arial"/>
          <w:b/>
          <w:bCs/>
          <w:sz w:val="24"/>
          <w:szCs w:val="22"/>
        </w:rPr>
        <w:t>Immobilisations acquises ou créées</w:t>
      </w:r>
    </w:p>
    <w:p w14:paraId="19250311" w14:textId="77777777" w:rsidR="001D6932" w:rsidRPr="001D6932" w:rsidRDefault="001D6932" w:rsidP="001D6932">
      <w:pPr>
        <w:overflowPunct/>
        <w:autoSpaceDE/>
        <w:autoSpaceDN/>
        <w:adjustRightInd/>
        <w:textAlignment w:val="auto"/>
        <w:rPr>
          <w:rFonts w:cs="Arial"/>
          <w:bCs/>
          <w:i/>
          <w:iCs/>
          <w:sz w:val="18"/>
          <w:szCs w:val="18"/>
        </w:rPr>
      </w:pPr>
      <w:r w:rsidRPr="001D6932">
        <w:rPr>
          <w:rFonts w:cs="Arial"/>
          <w:bCs/>
          <w:i/>
          <w:iCs/>
          <w:sz w:val="18"/>
          <w:szCs w:val="18"/>
        </w:rPr>
        <w:t xml:space="preserve">Source : </w:t>
      </w:r>
      <w:hyperlink r:id="rId9" w:history="1">
        <w:r w:rsidRPr="001D6932">
          <w:rPr>
            <w:rStyle w:val="Lienhypertexte"/>
            <w:rFonts w:cs="Arial"/>
            <w:i/>
            <w:iCs/>
            <w:sz w:val="18"/>
            <w:szCs w:val="16"/>
          </w:rPr>
          <w:t>http://bofip.impots.gouv.fr/</w:t>
        </w:r>
      </w:hyperlink>
    </w:p>
    <w:p w14:paraId="3BF3615E" w14:textId="77777777" w:rsidR="001D6932" w:rsidRPr="00BF5552" w:rsidRDefault="001D6932" w:rsidP="001D6932">
      <w:pPr>
        <w:overflowPunct/>
        <w:autoSpaceDE/>
        <w:autoSpaceDN/>
        <w:adjustRightInd/>
        <w:jc w:val="both"/>
        <w:textAlignment w:val="auto"/>
        <w:outlineLvl w:val="1"/>
        <w:rPr>
          <w:rFonts w:cs="Arial"/>
          <w:b/>
          <w:bCs/>
          <w:kern w:val="36"/>
          <w:szCs w:val="22"/>
        </w:rPr>
      </w:pPr>
      <w:r w:rsidRPr="00BF5552">
        <w:rPr>
          <w:rFonts w:cs="Arial"/>
          <w:b/>
          <w:bCs/>
          <w:kern w:val="36"/>
          <w:szCs w:val="22"/>
        </w:rPr>
        <w:t>I. Immobilisations acquises à titre onéreux</w:t>
      </w:r>
    </w:p>
    <w:p w14:paraId="02EB23DA" w14:textId="77777777" w:rsidR="001D6932" w:rsidRPr="001D6932" w:rsidRDefault="001D6932" w:rsidP="001D6932">
      <w:pPr>
        <w:overflowPunct/>
        <w:autoSpaceDE/>
        <w:autoSpaceDN/>
        <w:adjustRightInd/>
        <w:jc w:val="both"/>
        <w:textAlignment w:val="auto"/>
        <w:rPr>
          <w:rFonts w:cs="Arial"/>
          <w:sz w:val="20"/>
        </w:rPr>
      </w:pPr>
      <w:r w:rsidRPr="001D6932">
        <w:rPr>
          <w:rFonts w:cs="Arial"/>
          <w:b/>
          <w:sz w:val="20"/>
        </w:rPr>
        <w:t>L'</w:t>
      </w:r>
      <w:hyperlink r:id="rId10" w:tgtFrame="_blank" w:tooltip="Code général des impôts, annexe 3 Article 38 quinquies" w:history="1">
        <w:r w:rsidRPr="001D6932">
          <w:rPr>
            <w:rFonts w:cs="Arial"/>
            <w:b/>
            <w:bCs/>
            <w:sz w:val="20"/>
          </w:rPr>
          <w:t>article 38 quinquies de l’annexe III au code général des impôts (CGI)</w:t>
        </w:r>
      </w:hyperlink>
      <w:r w:rsidRPr="001D6932">
        <w:rPr>
          <w:rFonts w:cs="Arial"/>
          <w:sz w:val="20"/>
        </w:rPr>
        <w:t xml:space="preserve"> dispose que les immobilisations acquises à titre onéreux sont inscrites à l’actif du bilan pour leur coût d’acquisition.</w:t>
      </w:r>
    </w:p>
    <w:p w14:paraId="11CB075D"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Les immobilisations acquises à titre onéreux s’entendent de celles reçues en échange d’un actif monétaire, à l’exclusion des immobilisations acquises à titre gratuit, par voie d’apport ou par voie d’échange d’un autre actif non monétaire […].</w:t>
      </w:r>
    </w:p>
    <w:p w14:paraId="34E631DC"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Le coût d’acquisition correspond au prix d’achat minoré des remises, rabais commerciaux et escomptes de règlement obtenus et majoré des coûts directement engagés pour la mise en état d’utilisation du bien. […].</w:t>
      </w:r>
    </w:p>
    <w:p w14:paraId="7E13A2CE" w14:textId="77777777" w:rsidR="001D6932" w:rsidRPr="00BF5552" w:rsidRDefault="001D6932" w:rsidP="001D6932">
      <w:pPr>
        <w:overflowPunct/>
        <w:autoSpaceDE/>
        <w:autoSpaceDN/>
        <w:adjustRightInd/>
        <w:spacing w:before="240"/>
        <w:jc w:val="both"/>
        <w:textAlignment w:val="auto"/>
        <w:outlineLvl w:val="2"/>
        <w:rPr>
          <w:rFonts w:cs="Arial"/>
          <w:b/>
          <w:bCs/>
          <w:sz w:val="25"/>
          <w:szCs w:val="25"/>
        </w:rPr>
      </w:pPr>
      <w:r w:rsidRPr="00BF5552">
        <w:rPr>
          <w:rFonts w:cs="Arial"/>
          <w:b/>
          <w:bCs/>
          <w:sz w:val="25"/>
          <w:szCs w:val="25"/>
        </w:rPr>
        <w:t>A. Prix d’achat minoré des rabais, remises et escomptes obtenus</w:t>
      </w:r>
    </w:p>
    <w:p w14:paraId="5259A987"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Il est rappelé que le prix d’achat s’entend du prix convenu entre les parties pour l’acquisition, c’est-à-dire de la somme due pour l’acquisition de l’élément qui résulte en principe de la comptabilité.</w:t>
      </w:r>
    </w:p>
    <w:p w14:paraId="54C98113"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 Sur le plan comptable comme sur le plan fiscal, le coût d’acquisition doit être minoré des remises, rabais commerciaux et escomptes obtenus (</w:t>
      </w:r>
      <w:hyperlink r:id="rId11" w:tgtFrame="_blank" w:history="1">
        <w:r w:rsidRPr="001D6932">
          <w:rPr>
            <w:rFonts w:cs="Arial"/>
            <w:bCs/>
            <w:sz w:val="20"/>
          </w:rPr>
          <w:t>PCG, art. 321-10</w:t>
        </w:r>
      </w:hyperlink>
      <w:r w:rsidRPr="001D6932">
        <w:rPr>
          <w:rFonts w:cs="Arial"/>
          <w:sz w:val="20"/>
        </w:rPr>
        <w:t xml:space="preserve"> ; </w:t>
      </w:r>
      <w:hyperlink r:id="rId12" w:tgtFrame="_blank" w:tooltip="Code général des impôts, annexe 3 Article 38 quinquies" w:history="1">
        <w:r w:rsidRPr="001D6932">
          <w:rPr>
            <w:rFonts w:cs="Arial"/>
            <w:bCs/>
            <w:sz w:val="20"/>
          </w:rPr>
          <w:t xml:space="preserve">CGI, </w:t>
        </w:r>
        <w:proofErr w:type="spellStart"/>
        <w:r w:rsidRPr="001D6932">
          <w:rPr>
            <w:rFonts w:cs="Arial"/>
            <w:bCs/>
            <w:sz w:val="20"/>
          </w:rPr>
          <w:t>ann</w:t>
        </w:r>
        <w:proofErr w:type="spellEnd"/>
        <w:r w:rsidRPr="001D6932">
          <w:rPr>
            <w:rFonts w:cs="Arial"/>
            <w:bCs/>
            <w:sz w:val="20"/>
          </w:rPr>
          <w:t>. III, art. 38 quinquies</w:t>
        </w:r>
      </w:hyperlink>
      <w:r w:rsidRPr="001D6932">
        <w:rPr>
          <w:rFonts w:cs="Arial"/>
          <w:sz w:val="20"/>
        </w:rPr>
        <w:t>).</w:t>
      </w:r>
    </w:p>
    <w:p w14:paraId="5169985B" w14:textId="77777777" w:rsidR="001D6932" w:rsidRPr="00BF5552" w:rsidRDefault="001D6932" w:rsidP="001D6932">
      <w:pPr>
        <w:overflowPunct/>
        <w:autoSpaceDE/>
        <w:autoSpaceDN/>
        <w:adjustRightInd/>
        <w:spacing w:before="240"/>
        <w:jc w:val="both"/>
        <w:textAlignment w:val="auto"/>
        <w:outlineLvl w:val="2"/>
        <w:rPr>
          <w:rFonts w:cs="Arial"/>
          <w:b/>
          <w:bCs/>
          <w:szCs w:val="22"/>
        </w:rPr>
      </w:pPr>
      <w:r w:rsidRPr="00BF5552">
        <w:rPr>
          <w:rFonts w:cs="Arial"/>
          <w:b/>
          <w:bCs/>
          <w:szCs w:val="22"/>
        </w:rPr>
        <w:t>B. Coûts directement engagés pour la mise en état d’utilisation du bien</w:t>
      </w:r>
    </w:p>
    <w:p w14:paraId="5B06CED2"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Les coûts qui majorent le prix d’achat s’entendent des droits de douane, des taxes non récupérables, et de tous les frais directement engagés pour la mise en état d’utilisation du bien.</w:t>
      </w:r>
    </w:p>
    <w:p w14:paraId="2F39407B"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Il est rappelé que le prix d’achat est retenu pour son montant net de taxes récupérables (TVA notamment).</w:t>
      </w:r>
    </w:p>
    <w:p w14:paraId="426B81A1"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Á l’inverse, lorsque l’acquisition est grevée d’une taxe non récupérable par l’entreprise, cette taxe est incluse dans le coût d’acquisition de l’immobilisation (</w:t>
      </w:r>
      <w:hyperlink r:id="rId13" w:tooltip="BIC – Frais et charges – Impôts et taxes" w:history="1">
        <w:r w:rsidRPr="001D6932">
          <w:rPr>
            <w:rFonts w:cs="Arial"/>
            <w:b/>
            <w:bCs/>
            <w:sz w:val="20"/>
          </w:rPr>
          <w:t>BOI-BIC-CHG-40-30</w:t>
        </w:r>
      </w:hyperlink>
      <w:r w:rsidRPr="001D6932">
        <w:rPr>
          <w:rFonts w:cs="Arial"/>
          <w:sz w:val="20"/>
        </w:rPr>
        <w:t xml:space="preserve"> et </w:t>
      </w:r>
      <w:hyperlink r:id="rId14" w:tooltip="BIC - Amortissements - Règles de déduction - Base de l'amortissement - Biens n'ayant fait l'objet d'aucune réévaluation - Biens acquis à titre onéreux" w:history="1">
        <w:r w:rsidRPr="001D6932">
          <w:rPr>
            <w:rFonts w:cs="Arial"/>
            <w:b/>
            <w:bCs/>
            <w:sz w:val="20"/>
          </w:rPr>
          <w:t>BOI-BIC-AMT-10-30-30-10</w:t>
        </w:r>
      </w:hyperlink>
      <w:r w:rsidRPr="001D6932">
        <w:rPr>
          <w:rFonts w:cs="Arial"/>
          <w:sz w:val="20"/>
        </w:rPr>
        <w:t>).</w:t>
      </w:r>
    </w:p>
    <w:p w14:paraId="3158DA40"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Conformément à l’</w:t>
      </w:r>
      <w:hyperlink r:id="rId15" w:tgtFrame="_blank" w:tooltip="Code général des impôts, annexe 3 Article 38 quinquies" w:history="1">
        <w:r w:rsidRPr="001D6932">
          <w:rPr>
            <w:rFonts w:cs="Arial"/>
            <w:b/>
            <w:bCs/>
            <w:sz w:val="20"/>
          </w:rPr>
          <w:t>article 38 quinquies de l’annexe III au CGI</w:t>
        </w:r>
      </w:hyperlink>
      <w:r w:rsidRPr="001D6932">
        <w:rPr>
          <w:rFonts w:cs="Arial"/>
          <w:sz w:val="20"/>
        </w:rPr>
        <w:t>, le prix d’achat tel que défini ci-dessus est majoré des coûts directement engagés pour la mise en état d’utilisation du bien. Comme sur le plan comptable (</w:t>
      </w:r>
      <w:hyperlink r:id="rId16" w:tgtFrame="_blank" w:history="1">
        <w:r w:rsidRPr="001D6932">
          <w:rPr>
            <w:rFonts w:cs="Arial"/>
            <w:b/>
            <w:bCs/>
            <w:sz w:val="20"/>
          </w:rPr>
          <w:t>PCG, art. 321-10</w:t>
        </w:r>
      </w:hyperlink>
      <w:r w:rsidRPr="001D6932">
        <w:rPr>
          <w:rFonts w:cs="Arial"/>
          <w:sz w:val="20"/>
        </w:rPr>
        <w:t>), doivent être pris en compte l’ensemble des coûts directement attribuables pour mettre l’actif en place et en état de fonctionner selon l’utilisation prévue par la direction.</w:t>
      </w:r>
    </w:p>
    <w:p w14:paraId="38B99E25" w14:textId="77777777" w:rsidR="001D6932" w:rsidRPr="001D6932" w:rsidRDefault="001D6932" w:rsidP="001D6932">
      <w:pPr>
        <w:overflowPunct/>
        <w:autoSpaceDE/>
        <w:autoSpaceDN/>
        <w:adjustRightInd/>
        <w:jc w:val="both"/>
        <w:textAlignment w:val="auto"/>
        <w:rPr>
          <w:rFonts w:cs="Arial"/>
          <w:sz w:val="20"/>
        </w:rPr>
      </w:pPr>
      <w:r w:rsidRPr="001D6932">
        <w:rPr>
          <w:rFonts w:cs="Arial"/>
          <w:sz w:val="20"/>
        </w:rPr>
        <w:t>Il s’agit notamment :</w:t>
      </w:r>
    </w:p>
    <w:p w14:paraId="43F4C390"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Du coût des rémunérations et autres avantages au personnel résultant directement de l’acquisition ou de l’immobilisation ;</w:t>
      </w:r>
    </w:p>
    <w:p w14:paraId="1FFF4827"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Des coûts de préparation du site et des frais de démolition nécessaires à la mise en place de l’immobilisation ;</w:t>
      </w:r>
    </w:p>
    <w:p w14:paraId="1F7FB5AB"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Des frais de livraison et de manutention initiaux ;</w:t>
      </w:r>
    </w:p>
    <w:p w14:paraId="01692F20"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Des frais de transport, d’installation, de montage nécessaires à la mise en état d’utilisation des biens ;</w:t>
      </w:r>
    </w:p>
    <w:p w14:paraId="3B419579"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Des coûts liés aux essais de bon fonctionnement, déduction faite des revenus nets provenant de la vente des produits obtenus durant la mise en service (tels que des échantillons) ;</w:t>
      </w:r>
    </w:p>
    <w:p w14:paraId="5E101B4C" w14:textId="77777777" w:rsidR="001D6932" w:rsidRPr="001D6932" w:rsidRDefault="001D6932" w:rsidP="001D6932">
      <w:pPr>
        <w:pStyle w:val="Paragraphedeliste"/>
        <w:numPr>
          <w:ilvl w:val="0"/>
          <w:numId w:val="2"/>
        </w:numPr>
        <w:overflowPunct/>
        <w:autoSpaceDE/>
        <w:autoSpaceDN/>
        <w:adjustRightInd/>
        <w:spacing w:before="0"/>
        <w:ind w:left="284" w:hanging="284"/>
        <w:jc w:val="both"/>
        <w:textAlignment w:val="auto"/>
        <w:rPr>
          <w:rFonts w:cs="Arial"/>
          <w:sz w:val="20"/>
        </w:rPr>
      </w:pPr>
      <w:r w:rsidRPr="001D6932">
        <w:rPr>
          <w:rFonts w:cs="Arial"/>
          <w:sz w:val="20"/>
        </w:rPr>
        <w:t>Des honoraires des professionnels tels que les architectes, géomètres, experts, évaluateurs, conseils.</w:t>
      </w:r>
    </w:p>
    <w:p w14:paraId="2AF41DD5" w14:textId="77777777" w:rsidR="001D6932" w:rsidRPr="001D6932" w:rsidRDefault="001D6932" w:rsidP="001D6932">
      <w:pPr>
        <w:tabs>
          <w:tab w:val="left" w:pos="6829"/>
          <w:tab w:val="left" w:pos="8413"/>
        </w:tabs>
        <w:spacing w:before="60" w:after="60"/>
        <w:rPr>
          <w:sz w:val="20"/>
          <w:szCs w:val="18"/>
        </w:rPr>
      </w:pPr>
    </w:p>
    <w:p w14:paraId="72294B71" w14:textId="77777777" w:rsidR="001D6932" w:rsidRPr="001D6932" w:rsidRDefault="001D6932" w:rsidP="001D6932">
      <w:pPr>
        <w:tabs>
          <w:tab w:val="left" w:pos="6829"/>
          <w:tab w:val="left" w:pos="8413"/>
        </w:tabs>
        <w:spacing w:before="60" w:after="60"/>
        <w:rPr>
          <w:sz w:val="20"/>
          <w:szCs w:val="18"/>
        </w:rPr>
      </w:pPr>
    </w:p>
    <w:p w14:paraId="469D27EF" w14:textId="65F9E029" w:rsidR="00C425DF" w:rsidRDefault="00C425DF"/>
    <w:p w14:paraId="3E19700B" w14:textId="70EC2617" w:rsidR="003813E2" w:rsidRDefault="003813E2"/>
    <w:p w14:paraId="2E7E473A" w14:textId="3D7F541D" w:rsidR="003813E2" w:rsidRDefault="003813E2"/>
    <w:p w14:paraId="7CC9572C" w14:textId="35DB3700" w:rsidR="00C425DF" w:rsidRDefault="001D6932" w:rsidP="00C425DF">
      <w:pPr>
        <w:rPr>
          <w:rFonts w:cs="Arial"/>
          <w:b/>
          <w:sz w:val="24"/>
        </w:rPr>
      </w:pPr>
      <w:r>
        <w:rPr>
          <w:rFonts w:cs="Arial"/>
          <w:b/>
          <w:sz w:val="24"/>
        </w:rPr>
        <w:lastRenderedPageBreak/>
        <w:t>Réponses</w:t>
      </w:r>
    </w:p>
    <w:p w14:paraId="35D9B8E4" w14:textId="77777777" w:rsidR="001D6932" w:rsidRPr="00C425DF" w:rsidRDefault="001D6932" w:rsidP="00C425DF">
      <w:pPr>
        <w:rPr>
          <w:rFonts w:cs="Arial"/>
          <w:b/>
          <w:sz w:val="24"/>
        </w:rPr>
      </w:pPr>
    </w:p>
    <w:p w14:paraId="641DB2A5" w14:textId="77777777" w:rsidR="00C425DF" w:rsidRPr="001D6932" w:rsidRDefault="00540B6E" w:rsidP="001D6932">
      <w:pPr>
        <w:pStyle w:val="Paragraphedeliste"/>
        <w:numPr>
          <w:ilvl w:val="0"/>
          <w:numId w:val="3"/>
        </w:numPr>
        <w:spacing w:before="0"/>
        <w:rPr>
          <w:b/>
          <w:szCs w:val="18"/>
        </w:rPr>
      </w:pPr>
      <w:r w:rsidRPr="001D6932">
        <w:rPr>
          <w:b/>
          <w:szCs w:val="18"/>
        </w:rPr>
        <w:t>Où doivent apparaî</w:t>
      </w:r>
      <w:r w:rsidR="00C425DF" w:rsidRPr="001D6932">
        <w:rPr>
          <w:b/>
          <w:szCs w:val="18"/>
        </w:rPr>
        <w:t>tre les immobilisations ?</w:t>
      </w:r>
    </w:p>
    <w:p w14:paraId="625B5588" w14:textId="77777777" w:rsidR="00C425DF" w:rsidRPr="001D6932" w:rsidRDefault="00C425DF" w:rsidP="00C425DF">
      <w:pPr>
        <w:spacing w:before="0"/>
        <w:rPr>
          <w:b/>
          <w:szCs w:val="18"/>
        </w:rPr>
      </w:pPr>
    </w:p>
    <w:p w14:paraId="64ED2A54" w14:textId="37DFEDDE" w:rsidR="00C425DF" w:rsidRDefault="00C425DF" w:rsidP="00C425DF">
      <w:pPr>
        <w:spacing w:before="0"/>
        <w:rPr>
          <w:b/>
          <w:szCs w:val="18"/>
        </w:rPr>
      </w:pPr>
    </w:p>
    <w:p w14:paraId="24B533F8" w14:textId="77777777" w:rsidR="0095319B" w:rsidRPr="001D6932" w:rsidRDefault="0095319B" w:rsidP="00C425DF">
      <w:pPr>
        <w:spacing w:before="0"/>
        <w:rPr>
          <w:b/>
          <w:szCs w:val="18"/>
        </w:rPr>
      </w:pPr>
    </w:p>
    <w:p w14:paraId="797DD63E" w14:textId="77777777" w:rsidR="00C425DF" w:rsidRPr="001D6932" w:rsidRDefault="00C425DF" w:rsidP="001D6932">
      <w:pPr>
        <w:pStyle w:val="Paragraphedeliste"/>
        <w:numPr>
          <w:ilvl w:val="0"/>
          <w:numId w:val="3"/>
        </w:numPr>
        <w:spacing w:before="0"/>
        <w:rPr>
          <w:b/>
          <w:szCs w:val="18"/>
        </w:rPr>
      </w:pPr>
      <w:r w:rsidRPr="001D6932">
        <w:rPr>
          <w:b/>
          <w:szCs w:val="18"/>
        </w:rPr>
        <w:t xml:space="preserve">Les immobilisations reçues à titre </w:t>
      </w:r>
      <w:r w:rsidR="00540B6E" w:rsidRPr="001D6932">
        <w:rPr>
          <w:b/>
          <w:szCs w:val="18"/>
        </w:rPr>
        <w:t xml:space="preserve">gratuit </w:t>
      </w:r>
      <w:r w:rsidR="0065598E" w:rsidRPr="001D6932">
        <w:rPr>
          <w:b/>
          <w:szCs w:val="18"/>
        </w:rPr>
        <w:t>par l’entreprise</w:t>
      </w:r>
      <w:r w:rsidR="00540B6E" w:rsidRPr="001D6932">
        <w:rPr>
          <w:b/>
          <w:szCs w:val="18"/>
        </w:rPr>
        <w:t xml:space="preserve"> doivent-</w:t>
      </w:r>
      <w:r w:rsidRPr="001D6932">
        <w:rPr>
          <w:b/>
          <w:szCs w:val="18"/>
        </w:rPr>
        <w:t>elle</w:t>
      </w:r>
      <w:r w:rsidR="00540B6E" w:rsidRPr="001D6932">
        <w:rPr>
          <w:b/>
          <w:szCs w:val="18"/>
        </w:rPr>
        <w:t>s</w:t>
      </w:r>
      <w:r w:rsidRPr="001D6932">
        <w:rPr>
          <w:b/>
          <w:szCs w:val="18"/>
        </w:rPr>
        <w:t xml:space="preserve"> y appara</w:t>
      </w:r>
      <w:r w:rsidR="0065598E" w:rsidRPr="001D6932">
        <w:rPr>
          <w:b/>
          <w:szCs w:val="18"/>
        </w:rPr>
        <w:t>î</w:t>
      </w:r>
      <w:r w:rsidRPr="001D6932">
        <w:rPr>
          <w:b/>
          <w:szCs w:val="18"/>
        </w:rPr>
        <w:t>tre ?</w:t>
      </w:r>
    </w:p>
    <w:p w14:paraId="6B9100C8" w14:textId="04F0F5C9" w:rsidR="00C425DF" w:rsidRPr="001D6932" w:rsidRDefault="00C425DF" w:rsidP="00C425DF">
      <w:pPr>
        <w:pStyle w:val="Paragraphedeliste"/>
        <w:rPr>
          <w:b/>
          <w:szCs w:val="18"/>
        </w:rPr>
      </w:pPr>
    </w:p>
    <w:p w14:paraId="2B11D3DF" w14:textId="77777777" w:rsidR="003813E2" w:rsidRPr="001D6932" w:rsidRDefault="003813E2" w:rsidP="00C425DF">
      <w:pPr>
        <w:pStyle w:val="Paragraphedeliste"/>
        <w:rPr>
          <w:b/>
          <w:szCs w:val="18"/>
        </w:rPr>
      </w:pPr>
    </w:p>
    <w:p w14:paraId="34D7E707" w14:textId="77777777" w:rsidR="00C425DF" w:rsidRPr="001D6932" w:rsidRDefault="00C425DF" w:rsidP="00C425DF">
      <w:pPr>
        <w:spacing w:before="0"/>
        <w:rPr>
          <w:b/>
          <w:szCs w:val="18"/>
        </w:rPr>
      </w:pPr>
    </w:p>
    <w:p w14:paraId="59C6C072" w14:textId="77777777" w:rsidR="00C425DF" w:rsidRPr="001D6932" w:rsidRDefault="00C425DF" w:rsidP="001D6932">
      <w:pPr>
        <w:pStyle w:val="Paragraphedeliste"/>
        <w:numPr>
          <w:ilvl w:val="0"/>
          <w:numId w:val="3"/>
        </w:numPr>
        <w:spacing w:before="0"/>
        <w:rPr>
          <w:b/>
          <w:szCs w:val="18"/>
        </w:rPr>
      </w:pPr>
      <w:r w:rsidRPr="001D6932">
        <w:rPr>
          <w:b/>
          <w:szCs w:val="18"/>
        </w:rPr>
        <w:t>P</w:t>
      </w:r>
      <w:r w:rsidR="00540B6E" w:rsidRPr="001D6932">
        <w:rPr>
          <w:b/>
          <w:szCs w:val="18"/>
        </w:rPr>
        <w:t>our quelle valeur doivent-</w:t>
      </w:r>
      <w:r w:rsidRPr="001D6932">
        <w:rPr>
          <w:b/>
          <w:szCs w:val="18"/>
        </w:rPr>
        <w:t>elle</w:t>
      </w:r>
      <w:r w:rsidR="00881D81" w:rsidRPr="001D6932">
        <w:rPr>
          <w:b/>
          <w:szCs w:val="18"/>
        </w:rPr>
        <w:t>s</w:t>
      </w:r>
      <w:r w:rsidRPr="001D6932">
        <w:rPr>
          <w:b/>
          <w:szCs w:val="18"/>
        </w:rPr>
        <w:t xml:space="preserve"> y appara</w:t>
      </w:r>
      <w:r w:rsidR="0065598E" w:rsidRPr="001D6932">
        <w:rPr>
          <w:b/>
          <w:szCs w:val="18"/>
        </w:rPr>
        <w:t>î</w:t>
      </w:r>
      <w:r w:rsidRPr="001D6932">
        <w:rPr>
          <w:b/>
          <w:szCs w:val="18"/>
        </w:rPr>
        <w:t>tre ?</w:t>
      </w:r>
    </w:p>
    <w:p w14:paraId="38D1CB80" w14:textId="77777777" w:rsidR="00C425DF" w:rsidRPr="001D6932" w:rsidRDefault="00C425DF" w:rsidP="00C425DF">
      <w:pPr>
        <w:spacing w:before="0"/>
        <w:rPr>
          <w:b/>
          <w:szCs w:val="18"/>
        </w:rPr>
      </w:pPr>
    </w:p>
    <w:p w14:paraId="6378D187" w14:textId="32EBDF8E" w:rsidR="00C425DF" w:rsidRPr="001D6932" w:rsidRDefault="00C425DF" w:rsidP="00C425DF">
      <w:pPr>
        <w:spacing w:before="0"/>
        <w:rPr>
          <w:b/>
          <w:szCs w:val="18"/>
        </w:rPr>
      </w:pPr>
    </w:p>
    <w:p w14:paraId="1DEC1511" w14:textId="77777777" w:rsidR="003813E2" w:rsidRPr="001D6932" w:rsidRDefault="003813E2" w:rsidP="00C425DF">
      <w:pPr>
        <w:spacing w:before="0"/>
        <w:rPr>
          <w:b/>
          <w:szCs w:val="18"/>
        </w:rPr>
      </w:pPr>
    </w:p>
    <w:p w14:paraId="2D0B14B1" w14:textId="77777777" w:rsidR="00C425DF" w:rsidRPr="001D6932" w:rsidRDefault="0065598E" w:rsidP="001D6932">
      <w:pPr>
        <w:pStyle w:val="Paragraphedeliste"/>
        <w:numPr>
          <w:ilvl w:val="0"/>
          <w:numId w:val="3"/>
        </w:numPr>
        <w:spacing w:before="0"/>
        <w:rPr>
          <w:b/>
          <w:szCs w:val="18"/>
        </w:rPr>
      </w:pPr>
      <w:r w:rsidRPr="001D6932">
        <w:rPr>
          <w:b/>
          <w:szCs w:val="18"/>
        </w:rPr>
        <w:t>Qu’inclut</w:t>
      </w:r>
      <w:r w:rsidR="00C425DF" w:rsidRPr="001D6932">
        <w:rPr>
          <w:b/>
          <w:szCs w:val="18"/>
        </w:rPr>
        <w:t xml:space="preserve"> le coût d’acquisition d’une immobilisation ?</w:t>
      </w:r>
    </w:p>
    <w:p w14:paraId="1D258C51" w14:textId="77777777" w:rsidR="00C425DF" w:rsidRPr="00C425DF" w:rsidRDefault="00C425DF">
      <w:pPr>
        <w:rPr>
          <w:sz w:val="24"/>
        </w:rPr>
      </w:pPr>
    </w:p>
    <w:sectPr w:rsidR="00C425DF" w:rsidRPr="00C425DF" w:rsidSect="003813E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EE6"/>
    <w:multiLevelType w:val="hybridMultilevel"/>
    <w:tmpl w:val="C108DB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6BB26A70"/>
    <w:multiLevelType w:val="hybridMultilevel"/>
    <w:tmpl w:val="515E0788"/>
    <w:lvl w:ilvl="0" w:tplc="CB9A586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862485"/>
    <w:multiLevelType w:val="hybridMultilevel"/>
    <w:tmpl w:val="383EF602"/>
    <w:lvl w:ilvl="0" w:tplc="728281D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45232211">
    <w:abstractNumId w:val="0"/>
  </w:num>
  <w:num w:numId="2" w16cid:durableId="1914242279">
    <w:abstractNumId w:val="2"/>
  </w:num>
  <w:num w:numId="3" w16cid:durableId="929460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C3"/>
    <w:rsid w:val="001D6932"/>
    <w:rsid w:val="002D1B55"/>
    <w:rsid w:val="003813E2"/>
    <w:rsid w:val="00540B6E"/>
    <w:rsid w:val="0065598E"/>
    <w:rsid w:val="00754AC3"/>
    <w:rsid w:val="00881D81"/>
    <w:rsid w:val="00905C1F"/>
    <w:rsid w:val="0095319B"/>
    <w:rsid w:val="00B0189A"/>
    <w:rsid w:val="00C425DF"/>
    <w:rsid w:val="00C54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77E9"/>
  <w15:chartTrackingRefBased/>
  <w15:docId w15:val="{54D7CC62-3538-4119-A1C0-9C7983AD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C3"/>
    <w:pPr>
      <w:overflowPunct w:val="0"/>
      <w:autoSpaceDE w:val="0"/>
      <w:autoSpaceDN w:val="0"/>
      <w:adjustRightInd w:val="0"/>
      <w:spacing w:before="120" w:after="0" w:line="240" w:lineRule="auto"/>
      <w:textAlignment w:val="baseline"/>
    </w:pPr>
    <w:rPr>
      <w:rFonts w:ascii="Arial" w:eastAsia="Times New Roman" w:hAnsi="Arial" w:cs="Times New Roman"/>
      <w:szCs w:val="20"/>
      <w:lang w:eastAsia="fr-FR"/>
    </w:rPr>
  </w:style>
  <w:style w:type="paragraph" w:styleId="Titre2">
    <w:name w:val="heading 2"/>
    <w:basedOn w:val="Normal"/>
    <w:next w:val="Normal"/>
    <w:link w:val="Titre2Car"/>
    <w:qFormat/>
    <w:rsid w:val="00754AC3"/>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54AC3"/>
    <w:rPr>
      <w:rFonts w:ascii="Arial" w:eastAsia="Times New Roman" w:hAnsi="Arial" w:cs="Times New Roman"/>
      <w:b/>
      <w:bCs/>
      <w:sz w:val="28"/>
      <w:szCs w:val="20"/>
      <w:lang w:eastAsia="fr-FR"/>
    </w:rPr>
  </w:style>
  <w:style w:type="paragraph" w:styleId="Paragraphedeliste">
    <w:name w:val="List Paragraph"/>
    <w:basedOn w:val="Normal"/>
    <w:uiPriority w:val="34"/>
    <w:qFormat/>
    <w:rsid w:val="00754AC3"/>
    <w:pPr>
      <w:ind w:left="708"/>
    </w:pPr>
  </w:style>
  <w:style w:type="character" w:styleId="Lienhypertexte">
    <w:name w:val="Hyperlink"/>
    <w:uiPriority w:val="99"/>
    <w:unhideWhenUsed/>
    <w:rsid w:val="00754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bofip.impots.gouv.fr/bofip/2102-PG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egifrance.gouv.fr/affichCodeArticle.do?idArticle=LEGIARTI000006296549&amp;cidTexte=LEGITEXT000006069574&amp;dateTexte=20070419&amp;fastPos=9&amp;fastReqId=479345776&amp;oldAction=rechCodeArti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c.gouv.fr/sections/normes_privees/plans_comptables/plan_comptable/downloadFile/file/pcg_maj0712.pdf?nocache=1256807128.81"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anc.gouv.fr/sections/normes_privees/plans_comptables/plan_comptable/downloadFile/file/pcg_maj0712.pdf?nocache=1256807128.81" TargetMode="External"/><Relationship Id="rId5" Type="http://schemas.openxmlformats.org/officeDocument/2006/relationships/image" Target="media/image1.png"/><Relationship Id="rId15" Type="http://schemas.openxmlformats.org/officeDocument/2006/relationships/hyperlink" Target="http://www.legifrance.gouv.fr/affichCodeArticle.do?idArticle=LEGIARTI000006296549&amp;cidTexte=LEGITEXT000006069574&amp;dateTexte=20070419&amp;fastPos=9&amp;fastReqId=479345776&amp;oldAction=rechCodeArticle" TargetMode="External"/><Relationship Id="rId10" Type="http://schemas.openxmlformats.org/officeDocument/2006/relationships/hyperlink" Target="http://www.legifrance.gouv.fr/affichCodeArticle.do?idArticle=LEGIARTI000006296549&amp;cidTexte=LEGITEXT000006069574&amp;dateTexte=20070419&amp;fastPos=9&amp;fastReqId=479345776&amp;oldAction=rechCodeArticle" TargetMode="External"/><Relationship Id="rId4" Type="http://schemas.openxmlformats.org/officeDocument/2006/relationships/webSettings" Target="webSettings.xml"/><Relationship Id="rId9" Type="http://schemas.openxmlformats.org/officeDocument/2006/relationships/hyperlink" Target="http://bofip.impots.gouv.fr/" TargetMode="External"/><Relationship Id="rId14" Type="http://schemas.openxmlformats.org/officeDocument/2006/relationships/hyperlink" Target="http://bofip.impots.gouv.fr/bofip/4813-PG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2015-11-24T10:07:00Z</dcterms:created>
  <dcterms:modified xsi:type="dcterms:W3CDTF">2023-02-10T19:19:00Z</dcterms:modified>
</cp:coreProperties>
</file>